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val="en-US" w:eastAsia="zh-CN"/>
        </w:rPr>
        <w:t>广州电缆厂有限公司</w:t>
      </w: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val="en-US" w:eastAsia="zh-CN"/>
        </w:rPr>
        <w:t>双头分电机大拉机</w:t>
      </w:r>
      <w:r>
        <w:rPr>
          <w:rFonts w:hint="eastAsia" w:ascii="黑体" w:hAnsi="黑体" w:eastAsia="黑体"/>
          <w:b/>
          <w:bCs/>
          <w:sz w:val="72"/>
          <w:szCs w:val="72"/>
          <w:lang w:eastAsia="zh-CN"/>
        </w:rPr>
        <w:t>设备采购</w:t>
      </w:r>
    </w:p>
    <w:p>
      <w:pPr>
        <w:spacing w:line="360" w:lineRule="auto"/>
        <w:jc w:val="center"/>
        <w:rPr>
          <w:rFonts w:ascii="黑体" w:hAnsi="黑体" w:eastAsia="黑体"/>
          <w:b/>
          <w:bCs/>
          <w:sz w:val="72"/>
          <w:szCs w:val="72"/>
        </w:rPr>
      </w:pPr>
    </w:p>
    <w:p>
      <w:pPr>
        <w:spacing w:line="360" w:lineRule="auto"/>
        <w:jc w:val="center"/>
        <w:rPr>
          <w:rFonts w:hint="eastAsia" w:ascii="黑体" w:hAnsi="黑体" w:eastAsia="黑体"/>
          <w:b/>
          <w:bCs/>
          <w:sz w:val="72"/>
          <w:szCs w:val="72"/>
        </w:rPr>
      </w:pPr>
      <w:r>
        <w:rPr>
          <w:rFonts w:hint="eastAsia" w:ascii="黑体" w:hAnsi="黑体" w:eastAsia="黑体"/>
          <w:b/>
          <w:bCs/>
          <w:sz w:val="72"/>
          <w:szCs w:val="72"/>
          <w:lang w:eastAsia="zh-CN"/>
        </w:rPr>
        <w:t>设备</w:t>
      </w:r>
      <w:r>
        <w:rPr>
          <w:rFonts w:hint="eastAsia" w:ascii="黑体" w:hAnsi="黑体" w:eastAsia="黑体"/>
          <w:b/>
          <w:bCs/>
          <w:sz w:val="72"/>
          <w:szCs w:val="72"/>
        </w:rPr>
        <w:t>类公开招标文件</w:t>
      </w:r>
    </w:p>
    <w:p>
      <w:pPr>
        <w:pStyle w:val="2"/>
      </w:pPr>
    </w:p>
    <w:p>
      <w:pPr>
        <w:spacing w:line="480" w:lineRule="atLeast"/>
        <w:ind w:firstLine="2168"/>
        <w:rPr>
          <w:rFonts w:hint="eastAsia" w:ascii="宋体" w:hAnsi="宋体" w:eastAsia="宋体"/>
          <w:b/>
          <w:color w:val="FF0000"/>
          <w:sz w:val="36"/>
          <w:szCs w:val="36"/>
          <w:lang w:val="en-US" w:eastAsia="zh-CN"/>
        </w:rPr>
      </w:pPr>
      <w:r>
        <w:rPr>
          <w:rFonts w:hint="eastAsia" w:ascii="宋体" w:hAnsi="宋体"/>
          <w:b/>
          <w:sz w:val="36"/>
          <w:szCs w:val="36"/>
        </w:rPr>
        <w:t>招标</w:t>
      </w:r>
      <w:r>
        <w:rPr>
          <w:rFonts w:hint="eastAsia" w:ascii="宋体" w:hAnsi="宋体"/>
          <w:b/>
          <w:sz w:val="36"/>
          <w:szCs w:val="36"/>
          <w:lang w:val="en-US" w:eastAsia="zh-CN"/>
        </w:rPr>
        <w:t>项目</w:t>
      </w:r>
      <w:r>
        <w:rPr>
          <w:rFonts w:hint="eastAsia" w:ascii="宋体" w:hAnsi="宋体"/>
          <w:b/>
          <w:sz w:val="36"/>
          <w:szCs w:val="36"/>
        </w:rPr>
        <w:t>编号:</w:t>
      </w:r>
      <w:r>
        <w:rPr>
          <w:rFonts w:ascii="宋体" w:hAnsi="宋体"/>
          <w:b/>
          <w:color w:val="FF0000"/>
          <w:sz w:val="36"/>
          <w:szCs w:val="36"/>
        </w:rPr>
        <w:t xml:space="preserve"> </w:t>
      </w:r>
      <w:r>
        <w:rPr>
          <w:rFonts w:hint="eastAsia" w:ascii="宋体" w:hAnsi="宋体"/>
          <w:b/>
          <w:color w:val="FF0000"/>
          <w:sz w:val="36"/>
          <w:szCs w:val="36"/>
          <w:lang w:val="en-US" w:eastAsia="zh-CN"/>
        </w:rPr>
        <w:t>GL2021092801</w:t>
      </w:r>
    </w:p>
    <w:p>
      <w:pPr>
        <w:spacing w:line="480" w:lineRule="atLeast"/>
        <w:ind w:firstLine="2168"/>
        <w:rPr>
          <w:rFonts w:ascii="宋体" w:hAnsi="宋体"/>
          <w:b/>
          <w:sz w:val="36"/>
          <w:szCs w:val="36"/>
        </w:rPr>
      </w:pPr>
    </w:p>
    <w:p>
      <w:pPr>
        <w:spacing w:line="500" w:lineRule="atLeast"/>
        <w:ind w:right="227"/>
        <w:jc w:val="both"/>
        <w:rPr>
          <w:rFonts w:eastAsia="黑体"/>
          <w:b/>
          <w:bCs/>
          <w:sz w:val="32"/>
        </w:rPr>
      </w:pPr>
      <w:bookmarkStart w:id="122" w:name="_GoBack"/>
      <w:bookmarkEnd w:id="122"/>
    </w:p>
    <w:p>
      <w:pPr>
        <w:spacing w:line="500" w:lineRule="atLeast"/>
        <w:ind w:right="227" w:firstLine="643"/>
        <w:jc w:val="both"/>
        <w:rPr>
          <w:rFonts w:ascii="隶书" w:hAnsi="隶书" w:eastAsia="隶书"/>
          <w:b/>
          <w:sz w:val="32"/>
        </w:rPr>
      </w:pPr>
    </w:p>
    <w:p>
      <w:pPr>
        <w:spacing w:line="500" w:lineRule="exact"/>
        <w:jc w:val="both"/>
        <w:rPr>
          <w:rFonts w:hint="eastAsia" w:ascii="楷体_GB2312" w:hAnsi="楷体_GB2312" w:eastAsia="楷体_GB2312"/>
          <w:b/>
          <w:bCs/>
          <w:sz w:val="32"/>
          <w:szCs w:val="32"/>
          <w:lang w:val="en-US" w:eastAsia="zh-CN"/>
        </w:rPr>
      </w:pPr>
    </w:p>
    <w:p>
      <w:pPr>
        <w:spacing w:line="360" w:lineRule="auto"/>
        <w:ind w:firstLine="2249" w:firstLineChars="700"/>
        <w:rPr>
          <w:rFonts w:ascii="宋体" w:hAnsi="宋体" w:eastAsia="黑体"/>
          <w:b/>
          <w:bCs/>
          <w:sz w:val="32"/>
          <w:szCs w:val="22"/>
        </w:rPr>
      </w:pPr>
      <w:r>
        <w:rPr>
          <w:rFonts w:hint="eastAsia" w:ascii="黑体" w:hAnsi="黑体" w:eastAsia="黑体"/>
          <w:b/>
          <w:sz w:val="32"/>
          <w:szCs w:val="32"/>
        </w:rPr>
        <w:t xml:space="preserve">招  标 </w:t>
      </w:r>
      <w:r>
        <w:rPr>
          <w:rFonts w:hint="eastAsia" w:ascii="宋体" w:hAnsi="宋体" w:eastAsia="黑体"/>
          <w:b/>
          <w:bCs/>
          <w:sz w:val="32"/>
          <w:szCs w:val="22"/>
        </w:rPr>
        <w:t>人：</w:t>
      </w:r>
      <w:r>
        <w:rPr>
          <w:rFonts w:hint="eastAsia" w:ascii="宋体" w:hAnsi="宋体" w:eastAsia="黑体"/>
          <w:b/>
          <w:bCs/>
          <w:sz w:val="32"/>
          <w:szCs w:val="22"/>
          <w:lang w:val="en-US" w:eastAsia="zh-CN"/>
        </w:rPr>
        <w:t>广州电缆厂有限</w:t>
      </w:r>
      <w:r>
        <w:rPr>
          <w:rFonts w:hint="eastAsia" w:ascii="宋体" w:hAnsi="宋体" w:eastAsia="黑体"/>
          <w:b/>
          <w:bCs/>
          <w:sz w:val="32"/>
          <w:szCs w:val="22"/>
        </w:rPr>
        <w:t>公司</w:t>
      </w:r>
    </w:p>
    <w:p>
      <w:pPr>
        <w:spacing w:line="300" w:lineRule="exact"/>
        <w:ind w:firstLine="1590"/>
        <w:rPr>
          <w:rFonts w:eastAsia="黑体"/>
          <w:b/>
          <w:bCs/>
          <w:sz w:val="32"/>
        </w:rPr>
      </w:pPr>
    </w:p>
    <w:p>
      <w:pPr>
        <w:spacing w:line="300" w:lineRule="exact"/>
        <w:ind w:firstLine="1590"/>
        <w:rPr>
          <w:rFonts w:eastAsia="黑体"/>
          <w:b/>
          <w:spacing w:val="10"/>
          <w:sz w:val="18"/>
          <w:szCs w:val="18"/>
          <w:u w:val="single"/>
        </w:rPr>
      </w:pPr>
    </w:p>
    <w:p>
      <w:pPr>
        <w:jc w:val="center"/>
        <w:rPr>
          <w:rFonts w:eastAsia="方正黑体简体"/>
          <w:b/>
          <w:spacing w:val="9"/>
          <w:sz w:val="32"/>
          <w:szCs w:val="32"/>
        </w:rPr>
      </w:pPr>
      <w:r>
        <w:rPr>
          <w:rFonts w:hint="eastAsia" w:eastAsia="方正黑体简体"/>
          <w:b/>
          <w:spacing w:val="9"/>
          <w:sz w:val="32"/>
          <w:szCs w:val="32"/>
        </w:rPr>
        <w:t xml:space="preserve"> </w:t>
      </w:r>
      <w:r>
        <w:rPr>
          <w:rFonts w:hint="eastAsia" w:eastAsia="黑体"/>
          <w:b/>
          <w:bCs/>
          <w:sz w:val="32"/>
        </w:rPr>
        <w:t>二〇二一年</w:t>
      </w:r>
      <w:r>
        <w:rPr>
          <w:rFonts w:hint="eastAsia" w:eastAsia="黑体"/>
          <w:b/>
          <w:bCs/>
          <w:sz w:val="32"/>
          <w:lang w:val="en-US" w:eastAsia="zh-CN"/>
        </w:rPr>
        <w:t>九</w:t>
      </w:r>
      <w:r>
        <w:rPr>
          <w:rFonts w:hint="eastAsia" w:eastAsia="黑体"/>
          <w:b/>
          <w:bCs/>
          <w:sz w:val="32"/>
        </w:rPr>
        <w:t>月</w:t>
      </w:r>
    </w:p>
    <w:p>
      <w:pPr>
        <w:sectPr>
          <w:headerReference r:id="rId5" w:type="first"/>
          <w:footerReference r:id="rId8" w:type="first"/>
          <w:headerReference r:id="rId3" w:type="default"/>
          <w:footerReference r:id="rId6" w:type="default"/>
          <w:headerReference r:id="rId4" w:type="even"/>
          <w:footerReference r:id="rId7" w:type="even"/>
          <w:endnotePr>
            <w:numFmt w:val="decimal"/>
          </w:endnotePr>
          <w:pgSz w:w="11907" w:h="16840"/>
          <w:pgMar w:top="1134" w:right="1134" w:bottom="1134" w:left="1134" w:header="851" w:footer="992" w:gutter="0"/>
          <w:pgNumType w:start="0"/>
          <w:cols w:space="720" w:num="1"/>
          <w:titlePg/>
        </w:sect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r>
        <w:rPr>
          <w:rFonts w:hint="eastAsia" w:eastAsia="黑体"/>
          <w:b/>
          <w:sz w:val="44"/>
          <w:szCs w:val="44"/>
        </w:rPr>
        <w:t>目    录</w:t>
      </w: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sdt>
      <w:sdtPr>
        <w:rPr>
          <w:rFonts w:ascii="Times New Roman" w:hAnsi="Times New Roman" w:eastAsia="宋体" w:cs="Times New Roman"/>
          <w:b w:val="0"/>
          <w:bCs w:val="0"/>
          <w:color w:val="auto"/>
          <w:kern w:val="1"/>
          <w:sz w:val="21"/>
          <w:szCs w:val="24"/>
          <w:lang w:val="zh-CN"/>
        </w:rPr>
        <w:id w:val="1310904589"/>
      </w:sdtPr>
      <w:sdtEndPr>
        <w:rPr>
          <w:rFonts w:ascii="Times New Roman" w:hAnsi="Times New Roman" w:eastAsia="宋体" w:cs="Times New Roman"/>
          <w:b w:val="0"/>
          <w:bCs w:val="0"/>
          <w:color w:val="auto"/>
          <w:kern w:val="1"/>
          <w:sz w:val="21"/>
          <w:szCs w:val="24"/>
          <w:lang w:val="zh-CN"/>
        </w:rPr>
      </w:sdtEndPr>
      <w:sdtContent>
        <w:p>
          <w:pPr>
            <w:pStyle w:val="107"/>
          </w:pPr>
        </w:p>
        <w:p>
          <w:pPr>
            <w:pStyle w:val="28"/>
            <w:tabs>
              <w:tab w:val="right" w:leader="dot" w:pos="9062"/>
            </w:tabs>
            <w:spacing w:line="360" w:lineRule="auto"/>
            <w:rPr>
              <w:rFonts w:asciiTheme="minorHAnsi" w:hAnsiTheme="minorHAnsi" w:eastAsiaTheme="minorEastAsia" w:cstheme="minorBidi"/>
              <w:b/>
              <w:kern w:val="2"/>
              <w:sz w:val="28"/>
              <w:szCs w:val="22"/>
            </w:rPr>
          </w:pPr>
          <w:r>
            <w:rPr>
              <w:b/>
              <w:bCs/>
              <w:sz w:val="28"/>
              <w:lang w:val="zh-CN"/>
            </w:rPr>
            <w:fldChar w:fldCharType="begin"/>
          </w:r>
          <w:r>
            <w:rPr>
              <w:b/>
              <w:bCs/>
              <w:sz w:val="28"/>
              <w:lang w:val="zh-CN"/>
            </w:rPr>
            <w:instrText xml:space="preserve"> TOC \o "1-3" \h \z \u </w:instrText>
          </w:r>
          <w:r>
            <w:rPr>
              <w:b/>
              <w:bCs/>
              <w:sz w:val="28"/>
              <w:lang w:val="zh-CN"/>
            </w:rPr>
            <w:fldChar w:fldCharType="separate"/>
          </w:r>
          <w:r>
            <w:fldChar w:fldCharType="begin"/>
          </w:r>
          <w:r>
            <w:instrText xml:space="preserve"> HYPERLINK \l "_Toc69378299" </w:instrText>
          </w:r>
          <w:r>
            <w:fldChar w:fldCharType="separate"/>
          </w:r>
          <w:r>
            <w:rPr>
              <w:rStyle w:val="41"/>
              <w:rFonts w:hint="eastAsia"/>
              <w:b/>
              <w:sz w:val="24"/>
            </w:rPr>
            <w:t>第一部分</w:t>
          </w:r>
          <w:r>
            <w:rPr>
              <w:rStyle w:val="41"/>
              <w:b/>
              <w:sz w:val="24"/>
            </w:rPr>
            <w:t xml:space="preserve">  </w:t>
          </w:r>
          <w:r>
            <w:rPr>
              <w:rStyle w:val="41"/>
              <w:rFonts w:hint="eastAsia"/>
              <w:b/>
              <w:sz w:val="24"/>
            </w:rPr>
            <w:t>招标公告</w:t>
          </w:r>
          <w:r>
            <w:rPr>
              <w:b/>
              <w:sz w:val="28"/>
            </w:rPr>
            <w:tab/>
          </w:r>
          <w:r>
            <w:rPr>
              <w:b/>
              <w:sz w:val="28"/>
            </w:rPr>
            <w:fldChar w:fldCharType="begin"/>
          </w:r>
          <w:r>
            <w:rPr>
              <w:b/>
              <w:sz w:val="28"/>
            </w:rPr>
            <w:instrText xml:space="preserve"> PAGEREF _Toc69378299 \h </w:instrText>
          </w:r>
          <w:r>
            <w:rPr>
              <w:b/>
              <w:sz w:val="28"/>
            </w:rPr>
            <w:fldChar w:fldCharType="separate"/>
          </w:r>
          <w:r>
            <w:rPr>
              <w:b/>
              <w:sz w:val="28"/>
            </w:rPr>
            <w:t>2</w:t>
          </w:r>
          <w:r>
            <w:rPr>
              <w:b/>
              <w:sz w:val="28"/>
            </w:rPr>
            <w:fldChar w:fldCharType="end"/>
          </w:r>
          <w:r>
            <w:rPr>
              <w:b/>
              <w:sz w:val="28"/>
            </w:rPr>
            <w:fldChar w:fldCharType="end"/>
          </w:r>
        </w:p>
        <w:p>
          <w:pPr>
            <w:pStyle w:val="28"/>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"_Toc69378300" </w:instrText>
          </w:r>
          <w:r>
            <w:fldChar w:fldCharType="separate"/>
          </w:r>
          <w:r>
            <w:rPr>
              <w:rStyle w:val="41"/>
              <w:rFonts w:hint="eastAsia"/>
              <w:b/>
              <w:sz w:val="24"/>
            </w:rPr>
            <w:t xml:space="preserve">第二部分 </w:t>
          </w:r>
          <w:r>
            <w:rPr>
              <w:rStyle w:val="41"/>
              <w:b/>
              <w:sz w:val="24"/>
            </w:rPr>
            <w:t xml:space="preserve"> </w:t>
          </w:r>
          <w:r>
            <w:rPr>
              <w:rStyle w:val="41"/>
              <w:rFonts w:hint="eastAsia"/>
              <w:b/>
              <w:sz w:val="24"/>
            </w:rPr>
            <w:t>投标人须知</w:t>
          </w:r>
          <w:r>
            <w:rPr>
              <w:b/>
              <w:sz w:val="28"/>
            </w:rPr>
            <w:tab/>
          </w:r>
          <w:r>
            <w:rPr>
              <w:b/>
              <w:sz w:val="28"/>
            </w:rPr>
            <w:fldChar w:fldCharType="begin"/>
          </w:r>
          <w:r>
            <w:rPr>
              <w:b/>
              <w:sz w:val="28"/>
            </w:rPr>
            <w:instrText xml:space="preserve"> PAGEREF _Toc69378300 \h </w:instrText>
          </w:r>
          <w:r>
            <w:rPr>
              <w:b/>
              <w:sz w:val="28"/>
            </w:rPr>
            <w:fldChar w:fldCharType="separate"/>
          </w:r>
          <w:r>
            <w:rPr>
              <w:b/>
              <w:sz w:val="28"/>
            </w:rPr>
            <w:t>7</w:t>
          </w:r>
          <w:r>
            <w:rPr>
              <w:b/>
              <w:sz w:val="28"/>
            </w:rPr>
            <w:fldChar w:fldCharType="end"/>
          </w:r>
          <w:r>
            <w:rPr>
              <w:b/>
              <w:sz w:val="28"/>
            </w:rPr>
            <w:fldChar w:fldCharType="end"/>
          </w:r>
        </w:p>
        <w:p>
          <w:pPr>
            <w:pStyle w:val="28"/>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"_Toc69378301" </w:instrText>
          </w:r>
          <w:r>
            <w:fldChar w:fldCharType="separate"/>
          </w:r>
          <w:r>
            <w:rPr>
              <w:rStyle w:val="41"/>
              <w:rFonts w:hint="eastAsia"/>
              <w:b/>
              <w:sz w:val="24"/>
            </w:rPr>
            <w:t>第三部分</w:t>
          </w:r>
          <w:r>
            <w:rPr>
              <w:rStyle w:val="41"/>
              <w:b/>
              <w:sz w:val="24"/>
            </w:rPr>
            <w:t xml:space="preserve">  </w:t>
          </w:r>
          <w:r>
            <w:rPr>
              <w:rStyle w:val="41"/>
              <w:rFonts w:hint="eastAsia"/>
              <w:b/>
              <w:sz w:val="24"/>
            </w:rPr>
            <w:t>技术文件</w:t>
          </w:r>
          <w:r>
            <w:rPr>
              <w:b/>
              <w:sz w:val="28"/>
            </w:rPr>
            <w:tab/>
          </w:r>
          <w:r>
            <w:rPr>
              <w:b/>
              <w:sz w:val="28"/>
            </w:rPr>
            <w:fldChar w:fldCharType="begin"/>
          </w:r>
          <w:r>
            <w:rPr>
              <w:b/>
              <w:sz w:val="28"/>
            </w:rPr>
            <w:instrText xml:space="preserve"> PAGEREF _Toc69378301 \h </w:instrText>
          </w:r>
          <w:r>
            <w:rPr>
              <w:b/>
              <w:sz w:val="28"/>
            </w:rPr>
            <w:fldChar w:fldCharType="separate"/>
          </w:r>
          <w:r>
            <w:rPr>
              <w:b/>
              <w:sz w:val="28"/>
            </w:rPr>
            <w:t>19</w:t>
          </w:r>
          <w:r>
            <w:rPr>
              <w:b/>
              <w:sz w:val="28"/>
            </w:rPr>
            <w:fldChar w:fldCharType="end"/>
          </w:r>
          <w:r>
            <w:rPr>
              <w:b/>
              <w:sz w:val="28"/>
            </w:rPr>
            <w:fldChar w:fldCharType="end"/>
          </w:r>
        </w:p>
        <w:p>
          <w:pPr>
            <w:pStyle w:val="28"/>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"_Toc69378302" </w:instrText>
          </w:r>
          <w:r>
            <w:fldChar w:fldCharType="separate"/>
          </w:r>
          <w:r>
            <w:rPr>
              <w:rStyle w:val="41"/>
              <w:rFonts w:hint="eastAsia"/>
              <w:b/>
              <w:sz w:val="24"/>
            </w:rPr>
            <w:t>第四部分</w:t>
          </w:r>
          <w:r>
            <w:rPr>
              <w:rStyle w:val="41"/>
              <w:b/>
              <w:sz w:val="24"/>
            </w:rPr>
            <w:t xml:space="preserve">  </w:t>
          </w:r>
          <w:r>
            <w:rPr>
              <w:rStyle w:val="41"/>
              <w:rFonts w:hint="eastAsia"/>
              <w:b/>
              <w:sz w:val="24"/>
            </w:rPr>
            <w:t>合同基本条款</w:t>
          </w:r>
          <w:r>
            <w:rPr>
              <w:b/>
              <w:sz w:val="28"/>
            </w:rPr>
            <w:tab/>
          </w:r>
          <w:r>
            <w:rPr>
              <w:b/>
              <w:sz w:val="28"/>
            </w:rPr>
            <w:fldChar w:fldCharType="begin"/>
          </w:r>
          <w:r>
            <w:rPr>
              <w:b/>
              <w:sz w:val="28"/>
            </w:rPr>
            <w:instrText xml:space="preserve"> PAGEREF _Toc69378302 \h </w:instrText>
          </w:r>
          <w:r>
            <w:rPr>
              <w:b/>
              <w:sz w:val="28"/>
            </w:rPr>
            <w:fldChar w:fldCharType="separate"/>
          </w:r>
          <w:r>
            <w:rPr>
              <w:b/>
              <w:sz w:val="28"/>
            </w:rPr>
            <w:t>23</w:t>
          </w:r>
          <w:r>
            <w:rPr>
              <w:b/>
              <w:sz w:val="28"/>
            </w:rPr>
            <w:fldChar w:fldCharType="end"/>
          </w:r>
          <w:r>
            <w:rPr>
              <w:b/>
              <w:sz w:val="28"/>
            </w:rPr>
            <w:fldChar w:fldCharType="end"/>
          </w:r>
        </w:p>
        <w:p>
          <w:pPr>
            <w:pStyle w:val="28"/>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"_Toc69378303" </w:instrText>
          </w:r>
          <w:r>
            <w:fldChar w:fldCharType="separate"/>
          </w:r>
          <w:r>
            <w:rPr>
              <w:rStyle w:val="41"/>
              <w:rFonts w:hint="eastAsia"/>
              <w:b/>
              <w:sz w:val="24"/>
            </w:rPr>
            <w:t>第五部分</w:t>
          </w:r>
          <w:r>
            <w:rPr>
              <w:rStyle w:val="41"/>
              <w:b/>
              <w:sz w:val="24"/>
            </w:rPr>
            <w:t xml:space="preserve">  </w:t>
          </w:r>
          <w:r>
            <w:rPr>
              <w:rStyle w:val="41"/>
              <w:rFonts w:hint="eastAsia"/>
              <w:b/>
              <w:sz w:val="24"/>
            </w:rPr>
            <w:t>投标文件格式</w:t>
          </w:r>
          <w:r>
            <w:rPr>
              <w:b/>
              <w:sz w:val="28"/>
            </w:rPr>
            <w:tab/>
          </w:r>
          <w:r>
            <w:rPr>
              <w:b/>
              <w:sz w:val="28"/>
            </w:rPr>
            <w:fldChar w:fldCharType="begin"/>
          </w:r>
          <w:r>
            <w:rPr>
              <w:b/>
              <w:sz w:val="28"/>
            </w:rPr>
            <w:instrText xml:space="preserve"> PAGEREF _Toc69378303 \h </w:instrText>
          </w:r>
          <w:r>
            <w:rPr>
              <w:b/>
              <w:sz w:val="28"/>
            </w:rPr>
            <w:fldChar w:fldCharType="separate"/>
          </w:r>
          <w:r>
            <w:rPr>
              <w:b/>
              <w:sz w:val="28"/>
            </w:rPr>
            <w:t>26</w:t>
          </w:r>
          <w:r>
            <w:rPr>
              <w:b/>
              <w:sz w:val="28"/>
            </w:rPr>
            <w:fldChar w:fldCharType="end"/>
          </w:r>
          <w:r>
            <w:rPr>
              <w:b/>
              <w:sz w:val="28"/>
            </w:rPr>
            <w:fldChar w:fldCharType="end"/>
          </w:r>
        </w:p>
        <w:p>
          <w:pPr>
            <w:pStyle w:val="28"/>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"_Toc69378304" </w:instrText>
          </w:r>
          <w:r>
            <w:fldChar w:fldCharType="separate"/>
          </w:r>
          <w:r>
            <w:rPr>
              <w:rStyle w:val="41"/>
              <w:rFonts w:hint="eastAsia"/>
              <w:b/>
              <w:sz w:val="24"/>
            </w:rPr>
            <w:t xml:space="preserve">第六部分 </w:t>
          </w:r>
          <w:r>
            <w:rPr>
              <w:rStyle w:val="41"/>
              <w:b/>
              <w:sz w:val="24"/>
            </w:rPr>
            <w:t xml:space="preserve"> </w:t>
          </w:r>
          <w:r>
            <w:rPr>
              <w:rStyle w:val="41"/>
              <w:rFonts w:hint="eastAsia"/>
              <w:b/>
              <w:sz w:val="24"/>
            </w:rPr>
            <w:t>评标标准</w:t>
          </w:r>
          <w:r>
            <w:rPr>
              <w:b/>
              <w:sz w:val="28"/>
            </w:rPr>
            <w:tab/>
          </w:r>
          <w:r>
            <w:rPr>
              <w:b/>
              <w:sz w:val="28"/>
            </w:rPr>
            <w:fldChar w:fldCharType="begin"/>
          </w:r>
          <w:r>
            <w:rPr>
              <w:b/>
              <w:sz w:val="28"/>
            </w:rPr>
            <w:instrText xml:space="preserve"> PAGEREF _Toc69378304 \h </w:instrText>
          </w:r>
          <w:r>
            <w:rPr>
              <w:b/>
              <w:sz w:val="28"/>
            </w:rPr>
            <w:fldChar w:fldCharType="separate"/>
          </w:r>
          <w:r>
            <w:rPr>
              <w:b/>
              <w:sz w:val="28"/>
            </w:rPr>
            <w:t>47</w:t>
          </w:r>
          <w:r>
            <w:rPr>
              <w:b/>
              <w:sz w:val="28"/>
            </w:rPr>
            <w:fldChar w:fldCharType="end"/>
          </w:r>
          <w:r>
            <w:rPr>
              <w:b/>
              <w:sz w:val="28"/>
            </w:rPr>
            <w:fldChar w:fldCharType="end"/>
          </w:r>
        </w:p>
        <w:p>
          <w:pPr>
            <w:spacing w:line="360" w:lineRule="auto"/>
          </w:pPr>
          <w:r>
            <w:rPr>
              <w:b/>
              <w:bCs/>
              <w:sz w:val="28"/>
              <w:lang w:val="zh-CN"/>
            </w:rPr>
            <w:fldChar w:fldCharType="end"/>
          </w:r>
        </w:p>
      </w:sdtContent>
    </w:sdt>
    <w:p>
      <w:pPr>
        <w:pStyle w:val="31"/>
        <w:tabs>
          <w:tab w:val="right" w:leader="dot" w:pos="9629"/>
        </w:tabs>
        <w:spacing w:after="480" w:afterLines="200"/>
        <w:rPr>
          <w:rFonts w:ascii="Calibri" w:hAnsi="Calibri" w:eastAsia="Calibri"/>
          <w:b/>
          <w:sz w:val="32"/>
          <w:szCs w:val="22"/>
        </w:rPr>
      </w:pPr>
    </w:p>
    <w:p>
      <w:pPr>
        <w:pStyle w:val="58"/>
        <w:spacing w:line="520" w:lineRule="exact"/>
        <w:jc w:val="center"/>
        <w:rPr>
          <w:rFonts w:ascii="宋体" w:hAnsi="宋体" w:cs="宋体"/>
        </w:rPr>
        <w:sectPr>
          <w:headerReference r:id="rId9" w:type="default"/>
          <w:footerReference r:id="rId10" w:type="default"/>
          <w:endnotePr>
            <w:numFmt w:val="decimal"/>
          </w:endnotePr>
          <w:pgSz w:w="11907" w:h="16840"/>
          <w:pgMar w:top="1134" w:right="1134" w:bottom="1134" w:left="1701" w:header="624" w:footer="992" w:gutter="0"/>
          <w:cols w:space="720" w:num="1"/>
        </w:sectPr>
      </w:pPr>
      <w:bookmarkStart w:id="0" w:name="_Toc42003690"/>
      <w:bookmarkEnd w:id="0"/>
    </w:p>
    <w:p>
      <w:pPr>
        <w:pStyle w:val="36"/>
      </w:pPr>
      <w:bookmarkStart w:id="1" w:name="_Toc69378299"/>
      <w:r>
        <w:rPr>
          <w:rFonts w:hint="eastAsia"/>
        </w:rPr>
        <w:t>第一部分  招标公告</w:t>
      </w:r>
      <w:bookmarkEnd w:id="1"/>
    </w:p>
    <w:p>
      <w:pPr>
        <w:pStyle w:val="63"/>
        <w:spacing w:line="440" w:lineRule="exact"/>
        <w:rPr>
          <w:rFonts w:ascii="宋体" w:hAnsi="宋体" w:cs="宋体"/>
          <w:b/>
          <w:sz w:val="28"/>
        </w:rPr>
      </w:pPr>
      <w:bookmarkStart w:id="2" w:name="_Toc357678320"/>
      <w:bookmarkEnd w:id="2"/>
      <w:bookmarkStart w:id="3" w:name="_Toc287176209"/>
      <w:bookmarkEnd w:id="3"/>
      <w:bookmarkStart w:id="4" w:name="_Toc6859600"/>
      <w:bookmarkEnd w:id="4"/>
      <w:bookmarkStart w:id="5" w:name="_Toc42003691"/>
      <w:bookmarkEnd w:id="5"/>
      <w:bookmarkStart w:id="6" w:name="_Toc214003059"/>
      <w:bookmarkEnd w:id="6"/>
      <w:bookmarkStart w:id="7" w:name="_Toc19726"/>
      <w:bookmarkEnd w:id="7"/>
      <w:bookmarkStart w:id="8" w:name="_Toc225829997"/>
      <w:bookmarkEnd w:id="8"/>
      <w:r>
        <w:rPr>
          <w:rFonts w:ascii="宋体" w:hAnsi="宋体" w:cs="宋体"/>
          <w:b/>
          <w:sz w:val="28"/>
        </w:rPr>
        <w:t>1</w:t>
      </w:r>
      <w:r>
        <w:rPr>
          <w:rFonts w:hint="eastAsia" w:ascii="宋体" w:hAnsi="宋体" w:cs="宋体"/>
          <w:b/>
          <w:sz w:val="28"/>
        </w:rPr>
        <w:t>．招标条件</w:t>
      </w:r>
    </w:p>
    <w:p>
      <w:pPr>
        <w:spacing w:line="360" w:lineRule="auto"/>
        <w:ind w:firstLine="480" w:firstLineChars="200"/>
        <w:jc w:val="left"/>
        <w:rPr>
          <w:rFonts w:ascii="宋体" w:hAnsi="宋体" w:cs="宋体"/>
          <w:sz w:val="24"/>
        </w:rPr>
      </w:pPr>
      <w:r>
        <w:rPr>
          <w:rFonts w:hint="eastAsia" w:ascii="宋体" w:hAnsi="宋体" w:cs="宋体"/>
          <w:sz w:val="24"/>
        </w:rPr>
        <w:t>本次公告的招标项目为</w:t>
      </w:r>
      <w:r>
        <w:rPr>
          <w:rFonts w:hint="eastAsia" w:ascii="宋体" w:hAnsi="宋体" w:cs="宋体"/>
          <w:sz w:val="24"/>
          <w:lang w:eastAsia="zh-CN"/>
        </w:rPr>
        <w:t>广州电缆厂有限公司双头分电机大拉机设备</w:t>
      </w:r>
      <w:r>
        <w:rPr>
          <w:rFonts w:hint="eastAsia" w:ascii="宋体" w:hAnsi="宋体" w:cs="宋体"/>
          <w:sz w:val="24"/>
        </w:rPr>
        <w:t>采购【招标</w:t>
      </w:r>
      <w:r>
        <w:rPr>
          <w:rFonts w:hint="eastAsia" w:ascii="宋体" w:hAnsi="宋体" w:cs="宋体"/>
          <w:sz w:val="24"/>
          <w:lang w:val="en-US" w:eastAsia="zh-CN"/>
        </w:rPr>
        <w:t>项目</w:t>
      </w:r>
      <w:r>
        <w:rPr>
          <w:rFonts w:hint="eastAsia" w:ascii="宋体" w:hAnsi="宋体" w:cs="宋体"/>
          <w:sz w:val="24"/>
        </w:rPr>
        <w:t>编号：</w:t>
      </w:r>
      <w:r>
        <w:rPr>
          <w:rFonts w:hint="eastAsia" w:ascii="宋体" w:hAnsi="宋体" w:cs="宋体"/>
          <w:color w:val="FF0000"/>
          <w:sz w:val="24"/>
          <w:lang w:val="en-US" w:eastAsia="zh-CN"/>
        </w:rPr>
        <w:t>GL2021092801</w:t>
      </w:r>
      <w:r>
        <w:rPr>
          <w:rFonts w:hint="eastAsia" w:ascii="宋体" w:hAnsi="宋体" w:cs="宋体"/>
          <w:sz w:val="24"/>
        </w:rPr>
        <w:t>】</w:t>
      </w:r>
      <w:r>
        <w:rPr>
          <w:rFonts w:ascii="宋体" w:hAnsi="宋体" w:cs="宋体"/>
          <w:sz w:val="24"/>
        </w:rPr>
        <w:t>,</w:t>
      </w:r>
      <w:r>
        <w:rPr>
          <w:rFonts w:hint="eastAsia" w:ascii="宋体" w:hAnsi="宋体" w:cs="宋体"/>
          <w:sz w:val="24"/>
        </w:rPr>
        <w:t>招标人为</w:t>
      </w:r>
      <w:r>
        <w:rPr>
          <w:rFonts w:hint="eastAsia" w:ascii="宋体" w:hAnsi="宋体" w:cs="宋体"/>
          <w:sz w:val="24"/>
          <w:lang w:eastAsia="zh-CN"/>
        </w:rPr>
        <w:t>广州电缆厂有限公司</w:t>
      </w:r>
      <w:r>
        <w:rPr>
          <w:rFonts w:hint="eastAsia" w:ascii="宋体" w:hAnsi="宋体" w:cs="宋体"/>
          <w:sz w:val="24"/>
        </w:rPr>
        <w:t>。该项目现进行公开招标，</w:t>
      </w:r>
      <w:bookmarkStart w:id="9" w:name="_Toc287176210"/>
      <w:bookmarkEnd w:id="9"/>
      <w:bookmarkStart w:id="10" w:name="_Toc6859601"/>
      <w:bookmarkEnd w:id="10"/>
      <w:bookmarkStart w:id="11" w:name="_Toc31269"/>
      <w:bookmarkEnd w:id="11"/>
      <w:bookmarkStart w:id="12" w:name="_Toc225829998"/>
      <w:bookmarkEnd w:id="12"/>
      <w:bookmarkStart w:id="13" w:name="_Toc357678321"/>
      <w:bookmarkEnd w:id="13"/>
      <w:bookmarkStart w:id="14" w:name="_Toc214003060"/>
      <w:bookmarkEnd w:id="14"/>
      <w:r>
        <w:rPr>
          <w:rFonts w:hint="eastAsia" w:ascii="宋体" w:hAnsi="宋体" w:cs="宋体"/>
          <w:sz w:val="24"/>
        </w:rPr>
        <w:t>特邀请有兴趣的潜在投标人（以下简称申请人）参加投标。</w:t>
      </w:r>
    </w:p>
    <w:p>
      <w:pPr>
        <w:pStyle w:val="63"/>
        <w:spacing w:line="440" w:lineRule="exact"/>
        <w:rPr>
          <w:rFonts w:ascii="宋体" w:hAnsi="宋体" w:cs="宋体"/>
          <w:b/>
          <w:sz w:val="28"/>
        </w:rPr>
      </w:pPr>
      <w:bookmarkStart w:id="15" w:name="_Toc42003692"/>
      <w:bookmarkEnd w:id="15"/>
      <w:r>
        <w:rPr>
          <w:rFonts w:ascii="宋体" w:hAnsi="宋体" w:cs="宋体"/>
          <w:b/>
          <w:sz w:val="28"/>
        </w:rPr>
        <w:t>2</w:t>
      </w:r>
      <w:r>
        <w:rPr>
          <w:rFonts w:hint="eastAsia" w:ascii="宋体" w:hAnsi="宋体" w:cs="宋体"/>
          <w:b/>
          <w:sz w:val="28"/>
        </w:rPr>
        <w:t>．项目概况与招标范围</w:t>
      </w:r>
    </w:p>
    <w:p>
      <w:pPr>
        <w:spacing w:line="440" w:lineRule="exact"/>
        <w:ind w:firstLine="480"/>
        <w:rPr>
          <w:rFonts w:ascii="宋体" w:hAnsi="宋体" w:cs="宋体"/>
          <w:sz w:val="24"/>
        </w:rPr>
      </w:pPr>
      <w:r>
        <w:rPr>
          <w:rFonts w:ascii="宋体" w:hAnsi="宋体" w:cs="宋体"/>
          <w:sz w:val="24"/>
        </w:rPr>
        <w:t xml:space="preserve">2.1 </w:t>
      </w:r>
      <w:r>
        <w:rPr>
          <w:rFonts w:hint="eastAsia" w:ascii="宋体" w:hAnsi="宋体" w:cs="宋体"/>
          <w:sz w:val="24"/>
        </w:rPr>
        <w:t>项目实施地点：</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rPr>
        <w:t>现场</w:t>
      </w:r>
    </w:p>
    <w:p>
      <w:pPr>
        <w:spacing w:line="440" w:lineRule="exact"/>
        <w:ind w:firstLine="480"/>
        <w:rPr>
          <w:rFonts w:ascii="宋体" w:hAnsi="宋体" w:cs="宋体"/>
          <w:sz w:val="24"/>
        </w:rPr>
      </w:pPr>
      <w:r>
        <w:rPr>
          <w:rFonts w:ascii="宋体" w:hAnsi="宋体" w:cs="宋体"/>
          <w:sz w:val="24"/>
        </w:rPr>
        <w:t xml:space="preserve">2.2 </w:t>
      </w:r>
      <w:r>
        <w:rPr>
          <w:rFonts w:hint="eastAsia" w:ascii="宋体" w:hAnsi="宋体" w:cs="宋体"/>
          <w:sz w:val="24"/>
        </w:rPr>
        <w:t>招标范围：</w:t>
      </w:r>
      <w:bookmarkStart w:id="16" w:name="_Toc214003061"/>
      <w:bookmarkEnd w:id="16"/>
      <w:bookmarkStart w:id="17" w:name="_Toc225829999"/>
      <w:bookmarkEnd w:id="17"/>
      <w:bookmarkStart w:id="18" w:name="_Toc287176211"/>
      <w:bookmarkEnd w:id="18"/>
      <w:bookmarkStart w:id="19" w:name="_Toc2796"/>
      <w:bookmarkEnd w:id="19"/>
      <w:bookmarkStart w:id="20" w:name="_Toc357678322"/>
      <w:bookmarkEnd w:id="20"/>
    </w:p>
    <w:p>
      <w:pPr>
        <w:spacing w:line="440" w:lineRule="exact"/>
        <w:ind w:firstLine="480"/>
        <w:rPr>
          <w:rFonts w:ascii="宋体" w:hAnsi="宋体" w:cs="宋体"/>
          <w:sz w:val="24"/>
        </w:rPr>
      </w:pPr>
      <w:r>
        <w:rPr>
          <w:rFonts w:hint="eastAsia" w:ascii="宋体" w:hAnsi="宋体" w:cs="宋体"/>
          <w:sz w:val="24"/>
        </w:rPr>
        <w:t>招标人拟对</w:t>
      </w:r>
      <w:r>
        <w:rPr>
          <w:rFonts w:hint="eastAsia" w:ascii="宋体" w:hAnsi="宋体" w:cs="宋体"/>
          <w:sz w:val="24"/>
          <w:lang w:eastAsia="zh-CN"/>
        </w:rPr>
        <w:t>广州电缆厂有限公司</w:t>
      </w:r>
      <w:r>
        <w:rPr>
          <w:rFonts w:hint="eastAsia" w:ascii="宋体" w:hAnsi="宋体" w:cs="宋体"/>
          <w:color w:val="auto"/>
          <w:sz w:val="24"/>
          <w:lang w:val="en-US" w:eastAsia="zh-CN"/>
        </w:rPr>
        <w:t>双头分电机大拉机</w:t>
      </w:r>
      <w:r>
        <w:rPr>
          <w:rFonts w:hint="eastAsia" w:ascii="宋体" w:hAnsi="宋体" w:cs="宋体"/>
          <w:sz w:val="24"/>
          <w:lang w:eastAsia="zh-CN"/>
        </w:rPr>
        <w:t>设备</w:t>
      </w:r>
      <w:r>
        <w:rPr>
          <w:rFonts w:hint="eastAsia" w:ascii="宋体" w:hAnsi="宋体" w:cs="宋体"/>
          <w:sz w:val="24"/>
        </w:rPr>
        <w:t>采购进行公开招标。具体需求如下：</w:t>
      </w:r>
    </w:p>
    <w:tbl>
      <w:tblPr>
        <w:tblStyle w:val="42"/>
        <w:tblW w:w="8910"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695"/>
        <w:gridCol w:w="1950"/>
        <w:gridCol w:w="1050"/>
        <w:gridCol w:w="4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531" w:hRule="atLeast"/>
        </w:trPr>
        <w:tc>
          <w:tcPr>
            <w:tcW w:w="1695" w:type="dxa"/>
            <w:tcMar>
              <w:top w:w="0" w:type="dxa"/>
              <w:left w:w="108" w:type="dxa"/>
              <w:bottom w:w="0" w:type="dxa"/>
              <w:right w:w="108" w:type="dxa"/>
            </w:tcMar>
            <w:vAlign w:val="center"/>
          </w:tcPr>
          <w:p>
            <w:pPr>
              <w:spacing w:line="312" w:lineRule="auto"/>
              <w:jc w:val="center"/>
              <w:rPr>
                <w:rFonts w:hint="eastAsia" w:ascii="宋体" w:hAnsi="宋体" w:eastAsia="宋体" w:cs="Arial"/>
                <w:sz w:val="24"/>
                <w:lang w:eastAsia="zh-CN"/>
              </w:rPr>
            </w:pPr>
            <w:r>
              <w:rPr>
                <w:rFonts w:hint="eastAsia" w:ascii="宋体" w:hAnsi="宋体" w:cs="Arial"/>
                <w:sz w:val="24"/>
                <w:lang w:eastAsia="zh-CN"/>
              </w:rPr>
              <w:t>招标项目编号</w:t>
            </w:r>
          </w:p>
        </w:tc>
        <w:tc>
          <w:tcPr>
            <w:tcW w:w="1950" w:type="dxa"/>
            <w:tcMar>
              <w:top w:w="0" w:type="dxa"/>
              <w:left w:w="108" w:type="dxa"/>
              <w:bottom w:w="0" w:type="dxa"/>
              <w:right w:w="108" w:type="dxa"/>
            </w:tcMar>
            <w:vAlign w:val="center"/>
          </w:tcPr>
          <w:p>
            <w:pPr>
              <w:spacing w:line="312" w:lineRule="auto"/>
              <w:jc w:val="center"/>
              <w:rPr>
                <w:rFonts w:ascii="宋体" w:hAnsi="宋体" w:cs="Arial"/>
                <w:sz w:val="24"/>
              </w:rPr>
            </w:pPr>
            <w:r>
              <w:rPr>
                <w:rFonts w:hint="eastAsia" w:ascii="宋体" w:hAnsi="宋体" w:cs="Arial"/>
                <w:sz w:val="24"/>
              </w:rPr>
              <w:t>货物名称</w:t>
            </w:r>
          </w:p>
        </w:tc>
        <w:tc>
          <w:tcPr>
            <w:tcW w:w="1050"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数量</w:t>
            </w:r>
          </w:p>
        </w:tc>
        <w:tc>
          <w:tcPr>
            <w:tcW w:w="4215" w:type="dxa"/>
            <w:shd w:val="clear" w:color="auto" w:fill="auto"/>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简要概述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864" w:hRule="atLeast"/>
        </w:trPr>
        <w:tc>
          <w:tcPr>
            <w:tcW w:w="1695" w:type="dxa"/>
            <w:tcMar>
              <w:top w:w="0" w:type="dxa"/>
              <w:left w:w="108" w:type="dxa"/>
              <w:bottom w:w="0" w:type="dxa"/>
              <w:right w:w="108" w:type="dxa"/>
            </w:tcMar>
            <w:vAlign w:val="center"/>
          </w:tcPr>
          <w:p>
            <w:pPr>
              <w:spacing w:line="360" w:lineRule="auto"/>
              <w:jc w:val="center"/>
              <w:rPr>
                <w:rFonts w:ascii="Arial" w:hAnsi="Arial" w:eastAsia="Calibri" w:cs="Arial"/>
                <w:strike/>
                <w:color w:val="000000" w:themeColor="text1"/>
                <w:sz w:val="18"/>
                <w:szCs w:val="18"/>
                <w14:textFill>
                  <w14:solidFill>
                    <w14:schemeClr w14:val="tx1"/>
                  </w14:solidFill>
                </w14:textFill>
              </w:rPr>
            </w:pPr>
            <w:r>
              <w:rPr>
                <w:rFonts w:hint="eastAsia" w:ascii="宋体" w:hAnsi="宋体" w:cs="宋体"/>
                <w:color w:val="FF0000"/>
                <w:sz w:val="24"/>
                <w:lang w:val="en-US" w:eastAsia="zh-CN"/>
              </w:rPr>
              <w:t>GL2021092801</w:t>
            </w:r>
          </w:p>
        </w:tc>
        <w:tc>
          <w:tcPr>
            <w:tcW w:w="1950" w:type="dxa"/>
            <w:tcMar>
              <w:top w:w="0" w:type="dxa"/>
              <w:left w:w="108" w:type="dxa"/>
              <w:bottom w:w="0" w:type="dxa"/>
              <w:right w:w="108" w:type="dxa"/>
            </w:tcMar>
            <w:vAlign w:val="center"/>
          </w:tcPr>
          <w:p>
            <w:pPr>
              <w:spacing w:line="360" w:lineRule="auto"/>
              <w:jc w:val="center"/>
              <w:rPr>
                <w:rFonts w:ascii="Arial" w:hAnsi="Arial" w:eastAsia="Calibri" w:cs="Arial"/>
                <w:color w:val="000000" w:themeColor="text1"/>
                <w:sz w:val="24"/>
                <w14:textFill>
                  <w14:solidFill>
                    <w14:schemeClr w14:val="tx1"/>
                  </w14:solidFill>
                </w14:textFill>
              </w:rPr>
            </w:pPr>
            <w:r>
              <w:rPr>
                <w:rFonts w:hint="eastAsia" w:ascii="宋体" w:hAnsi="宋体" w:cs="宋体"/>
                <w:color w:val="auto"/>
                <w:sz w:val="24"/>
                <w:lang w:val="en-US" w:eastAsia="zh-CN"/>
              </w:rPr>
              <w:t>双头分电机大拉机</w:t>
            </w:r>
          </w:p>
        </w:tc>
        <w:tc>
          <w:tcPr>
            <w:tcW w:w="1050" w:type="dxa"/>
            <w:tcMar>
              <w:top w:w="0" w:type="dxa"/>
              <w:left w:w="108" w:type="dxa"/>
              <w:bottom w:w="0" w:type="dxa"/>
              <w:right w:w="108" w:type="dxa"/>
            </w:tcMar>
            <w:vAlign w:val="center"/>
          </w:tcPr>
          <w:p>
            <w:pPr>
              <w:jc w:val="center"/>
              <w:rPr>
                <w:rFonts w:ascii="宋体" w:hAnsi="宋体"/>
                <w:szCs w:val="21"/>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套</w:t>
            </w:r>
          </w:p>
        </w:tc>
        <w:tc>
          <w:tcPr>
            <w:tcW w:w="4215" w:type="dxa"/>
            <w:shd w:val="clear" w:color="auto" w:fill="auto"/>
            <w:tcMar>
              <w:top w:w="0" w:type="dxa"/>
              <w:left w:w="108" w:type="dxa"/>
              <w:bottom w:w="0" w:type="dxa"/>
              <w:right w:w="108" w:type="dxa"/>
            </w:tcMar>
            <w:vAlign w:val="center"/>
          </w:tcPr>
          <w:p>
            <w:pPr>
              <w:spacing w:line="300" w:lineRule="atLeast"/>
              <w:ind w:firstLine="1470" w:firstLineChars="700"/>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详见技术要求</w:t>
            </w:r>
          </w:p>
        </w:tc>
      </w:tr>
    </w:tbl>
    <w:p>
      <w:pPr>
        <w:pStyle w:val="63"/>
        <w:keepNext w:val="0"/>
        <w:keepLines w:val="0"/>
        <w:pageBreakBefore w:val="0"/>
        <w:widowControl w:val="0"/>
        <w:numPr>
          <w:ilvl w:val="0"/>
          <w:numId w:val="1"/>
        </w:numPr>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hint="eastAsia" w:ascii="宋体" w:hAnsi="宋体" w:cs="宋体"/>
          <w:b/>
          <w:sz w:val="28"/>
        </w:rPr>
      </w:pPr>
      <w:bookmarkStart w:id="21" w:name="_Toc42003693"/>
      <w:bookmarkEnd w:id="21"/>
      <w:r>
        <w:rPr>
          <w:rFonts w:hint="eastAsia" w:ascii="宋体" w:hAnsi="宋体" w:cs="宋体"/>
          <w:b/>
          <w:sz w:val="28"/>
        </w:rPr>
        <w:t>招标控制价</w:t>
      </w:r>
    </w:p>
    <w:p>
      <w:pPr>
        <w:pStyle w:val="63"/>
        <w:keepNext w:val="0"/>
        <w:keepLines w:val="0"/>
        <w:pageBreakBefore w:val="0"/>
        <w:widowControl w:val="0"/>
        <w:numPr>
          <w:ilvl w:val="0"/>
          <w:numId w:val="0"/>
        </w:numPr>
        <w:kinsoku/>
        <w:wordWrap/>
        <w:overflowPunct/>
        <w:topLinePunct w:val="0"/>
        <w:autoSpaceDE/>
        <w:autoSpaceDN/>
        <w:bidi w:val="0"/>
        <w:adjustRightInd/>
        <w:snapToGrid/>
        <w:spacing w:before="0" w:beforeLines="50" w:line="440" w:lineRule="exact"/>
        <w:ind w:left="0" w:leftChars="0" w:right="0" w:rightChars="0" w:firstLine="480" w:firstLineChars="200"/>
        <w:jc w:val="both"/>
        <w:textAlignment w:val="auto"/>
        <w:outlineLvl w:val="9"/>
        <w:rPr>
          <w:rFonts w:hint="eastAsia"/>
          <w:sz w:val="24"/>
          <w:u w:val="none"/>
          <w:lang w:val="en-US" w:eastAsia="zh-CN"/>
        </w:rPr>
      </w:pPr>
      <w:r>
        <w:rPr>
          <w:rFonts w:hint="eastAsia"/>
          <w:sz w:val="24"/>
          <w:u w:val="none"/>
          <w:lang w:val="en-US" w:eastAsia="zh-CN"/>
        </w:rPr>
        <w:t xml:space="preserve">3.1招标控制价（最高投标限价）：人民币 </w:t>
      </w:r>
      <w:r>
        <w:rPr>
          <w:rFonts w:hint="eastAsia"/>
          <w:sz w:val="24"/>
          <w:u w:val="single"/>
          <w:lang w:val="en-US" w:eastAsia="zh-CN"/>
        </w:rPr>
        <w:t xml:space="preserve"> 498万</w:t>
      </w:r>
      <w:r>
        <w:rPr>
          <w:rFonts w:hint="eastAsia"/>
          <w:sz w:val="24"/>
          <w:u w:val="none"/>
          <w:lang w:val="en-US" w:eastAsia="zh-CN"/>
        </w:rPr>
        <w:t>元整。</w:t>
      </w:r>
    </w:p>
    <w:p>
      <w:pPr>
        <w:pStyle w:val="63"/>
        <w:keepNext w:val="0"/>
        <w:keepLines w:val="0"/>
        <w:pageBreakBefore w:val="0"/>
        <w:widowControl w:val="0"/>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ascii="宋体" w:hAnsi="宋体" w:cs="宋体"/>
          <w:b/>
          <w:sz w:val="28"/>
        </w:rPr>
      </w:pPr>
      <w:r>
        <w:rPr>
          <w:rFonts w:hint="eastAsia" w:ascii="宋体" w:hAnsi="宋体" w:cs="宋体"/>
          <w:b/>
          <w:sz w:val="28"/>
          <w:lang w:val="en-US" w:eastAsia="zh-CN"/>
        </w:rPr>
        <w:t>4</w:t>
      </w:r>
      <w:r>
        <w:rPr>
          <w:rFonts w:hint="eastAsia" w:ascii="宋体" w:hAnsi="宋体" w:cs="宋体"/>
          <w:b/>
          <w:sz w:val="28"/>
        </w:rPr>
        <w:t>.申请人资格要求</w:t>
      </w:r>
    </w:p>
    <w:p>
      <w:pPr>
        <w:spacing w:line="440" w:lineRule="exact"/>
        <w:ind w:firstLine="480"/>
        <w:rPr>
          <w:rFonts w:ascii="宋体" w:hAnsi="宋体" w:cs="宋体"/>
          <w:color w:val="auto"/>
          <w:sz w:val="24"/>
        </w:rPr>
      </w:pPr>
      <w:bookmarkStart w:id="22" w:name="_Toc287176212"/>
      <w:bookmarkEnd w:id="22"/>
      <w:bookmarkStart w:id="23" w:name="_Toc214003063"/>
      <w:bookmarkEnd w:id="23"/>
      <w:bookmarkStart w:id="24" w:name="_Toc423"/>
      <w:bookmarkEnd w:id="24"/>
      <w:bookmarkStart w:id="25" w:name="_Toc357678323"/>
      <w:bookmarkEnd w:id="25"/>
      <w:bookmarkStart w:id="26" w:name="_Toc225830001"/>
      <w:bookmarkEnd w:id="26"/>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rPr>
        <w:t>1投标人必须具有独立法人资格，具有招标货物制造能力的制造商，在同行业中具有较高的知名度，且无不良运行纪录，所投产品为非实验品，且为全新产品。</w:t>
      </w:r>
    </w:p>
    <w:p>
      <w:pPr>
        <w:spacing w:line="440" w:lineRule="exact"/>
        <w:ind w:firstLine="480"/>
        <w:rPr>
          <w:rFonts w:hint="eastAsia" w:ascii="宋体" w:hAnsi="宋体" w:cs="宋体"/>
          <w:color w:val="auto"/>
          <w:sz w:val="24"/>
        </w:rPr>
      </w:pPr>
      <w:r>
        <w:rPr>
          <w:rFonts w:hint="eastAsia" w:ascii="宋体" w:hAnsi="宋体" w:cs="宋体"/>
          <w:color w:val="auto"/>
          <w:sz w:val="24"/>
          <w:lang w:val="en-US" w:eastAsia="zh-CN"/>
        </w:rPr>
        <w:t>4</w:t>
      </w:r>
      <w:r>
        <w:rPr>
          <w:rFonts w:ascii="宋体" w:hAnsi="宋体" w:cs="宋体"/>
          <w:color w:val="auto"/>
          <w:sz w:val="24"/>
        </w:rPr>
        <w:t>.2</w:t>
      </w:r>
      <w:r>
        <w:rPr>
          <w:rFonts w:hint="eastAsia" w:ascii="宋体" w:hAnsi="宋体" w:cs="宋体"/>
          <w:color w:val="auto"/>
          <w:sz w:val="24"/>
          <w:highlight w:val="none"/>
        </w:rPr>
        <w:t>自20</w:t>
      </w:r>
      <w:r>
        <w:rPr>
          <w:rFonts w:hint="eastAsia" w:ascii="宋体" w:hAnsi="宋体" w:cs="宋体"/>
          <w:color w:val="auto"/>
          <w:sz w:val="24"/>
          <w:highlight w:val="none"/>
          <w:lang w:val="en-US" w:eastAsia="zh-CN"/>
        </w:rPr>
        <w:t>19</w:t>
      </w:r>
      <w:r>
        <w:rPr>
          <w:rFonts w:hint="eastAsia" w:ascii="宋体" w:hAnsi="宋体" w:cs="宋体"/>
          <w:color w:val="auto"/>
          <w:sz w:val="24"/>
          <w:highlight w:val="none"/>
        </w:rPr>
        <w:t>年</w:t>
      </w:r>
      <w:r>
        <w:rPr>
          <w:rFonts w:ascii="宋体" w:hAnsi="宋体" w:cs="宋体"/>
          <w:color w:val="auto"/>
          <w:sz w:val="24"/>
          <w:highlight w:val="none"/>
        </w:rPr>
        <w:t>1</w:t>
      </w:r>
      <w:r>
        <w:rPr>
          <w:rFonts w:hint="eastAsia" w:ascii="宋体" w:hAnsi="宋体" w:cs="宋体"/>
          <w:color w:val="auto"/>
          <w:sz w:val="24"/>
          <w:highlight w:val="none"/>
        </w:rPr>
        <w:t>月1日至今，</w:t>
      </w:r>
      <w:r>
        <w:rPr>
          <w:rFonts w:hint="eastAsia" w:ascii="宋体" w:hAnsi="宋体" w:cs="宋体"/>
          <w:color w:val="auto"/>
          <w:sz w:val="24"/>
        </w:rPr>
        <w:t>以签订合同时间为准，须要投标人具有成熟的技术储备，</w:t>
      </w:r>
      <w:r>
        <w:rPr>
          <w:rFonts w:hint="eastAsia" w:ascii="宋体" w:hAnsi="宋体" w:cs="宋体"/>
          <w:color w:val="auto"/>
          <w:sz w:val="24"/>
          <w:lang w:val="en-US" w:eastAsia="zh-CN"/>
        </w:rPr>
        <w:t>双头分电机大拉机</w:t>
      </w:r>
      <w:r>
        <w:rPr>
          <w:rFonts w:ascii="宋体" w:hAnsi="宋体" w:cs="宋体"/>
          <w:color w:val="auto"/>
          <w:sz w:val="24"/>
        </w:rPr>
        <w:t>的</w:t>
      </w:r>
      <w:r>
        <w:rPr>
          <w:rFonts w:hint="eastAsia" w:ascii="宋体" w:hAnsi="宋体" w:cs="宋体"/>
          <w:color w:val="auto"/>
          <w:sz w:val="24"/>
        </w:rPr>
        <w:t>销售使用业绩不少于</w:t>
      </w:r>
      <w:r>
        <w:rPr>
          <w:rFonts w:hint="eastAsia" w:ascii="宋体" w:hAnsi="宋体" w:cs="宋体"/>
          <w:color w:val="auto"/>
          <w:sz w:val="24"/>
          <w:lang w:val="en-US" w:eastAsia="zh-CN"/>
        </w:rPr>
        <w:t>15</w:t>
      </w:r>
      <w:r>
        <w:rPr>
          <w:rFonts w:hint="eastAsia" w:ascii="宋体" w:hAnsi="宋体" w:cs="宋体"/>
          <w:color w:val="auto"/>
          <w:sz w:val="24"/>
        </w:rPr>
        <w:t>台套</w:t>
      </w:r>
      <w:r>
        <w:rPr>
          <w:rFonts w:hint="eastAsia" w:ascii="宋体" w:hAnsi="宋体" w:cs="宋体"/>
          <w:color w:val="auto"/>
          <w:sz w:val="24"/>
          <w:lang w:eastAsia="zh-CN"/>
        </w:rPr>
        <w:t>（</w:t>
      </w:r>
      <w:r>
        <w:rPr>
          <w:rFonts w:hint="eastAsia" w:ascii="宋体" w:hAnsi="宋体" w:cs="宋体"/>
          <w:color w:val="auto"/>
          <w:sz w:val="24"/>
          <w:lang w:val="en-US" w:eastAsia="zh-CN"/>
        </w:rPr>
        <w:t>含</w:t>
      </w:r>
      <w:r>
        <w:rPr>
          <w:rFonts w:hint="eastAsia" w:ascii="宋体" w:hAnsi="宋体" w:cs="宋体"/>
          <w:color w:val="auto"/>
          <w:sz w:val="24"/>
          <w:lang w:eastAsia="zh-CN"/>
        </w:rPr>
        <w:t>）</w:t>
      </w:r>
      <w:r>
        <w:rPr>
          <w:rFonts w:hint="eastAsia" w:ascii="宋体" w:hAnsi="宋体" w:cs="宋体"/>
          <w:color w:val="auto"/>
          <w:sz w:val="24"/>
        </w:rPr>
        <w:t>，提供合同复印件</w:t>
      </w:r>
      <w:r>
        <w:rPr>
          <w:rFonts w:hint="eastAsia" w:ascii="宋体" w:hAnsi="宋体" w:cs="宋体"/>
          <w:color w:val="auto"/>
          <w:sz w:val="24"/>
          <w:lang w:val="en-US" w:eastAsia="zh-CN"/>
        </w:rPr>
        <w:t>或</w:t>
      </w:r>
      <w:r>
        <w:rPr>
          <w:rFonts w:hint="eastAsia" w:ascii="宋体" w:hAnsi="宋体" w:cs="宋体"/>
          <w:color w:val="auto"/>
          <w:sz w:val="24"/>
        </w:rPr>
        <w:t>使用单位验收合格证明。</w:t>
      </w:r>
    </w:p>
    <w:p>
      <w:pPr>
        <w:spacing w:line="440" w:lineRule="exact"/>
        <w:ind w:firstLine="480"/>
        <w:rPr>
          <w:rFonts w:hint="default" w:ascii="宋体" w:hAnsi="宋体" w:eastAsia="宋体" w:cs="宋体"/>
          <w:color w:val="auto"/>
          <w:sz w:val="24"/>
          <w:lang w:val="en-US" w:eastAsia="zh-CN"/>
        </w:rPr>
      </w:pPr>
      <w:r>
        <w:rPr>
          <w:rFonts w:hint="eastAsia" w:ascii="宋体" w:hAnsi="宋体" w:cs="宋体"/>
          <w:color w:val="auto"/>
          <w:sz w:val="24"/>
          <w:lang w:val="en-US" w:eastAsia="zh-CN"/>
        </w:rPr>
        <w:t>4.3拉丝机设备制造年销售收入不低</w:t>
      </w:r>
      <w:r>
        <w:rPr>
          <w:rFonts w:hint="eastAsia" w:ascii="宋体" w:hAnsi="宋体" w:cs="宋体"/>
          <w:color w:val="FF0000"/>
          <w:sz w:val="24"/>
          <w:lang w:val="en-US" w:eastAsia="zh-CN"/>
        </w:rPr>
        <w:t>于0.5亿元</w:t>
      </w:r>
      <w:r>
        <w:rPr>
          <w:rFonts w:hint="eastAsia" w:ascii="宋体" w:hAnsi="宋体" w:cs="宋体"/>
          <w:color w:val="auto"/>
          <w:sz w:val="24"/>
          <w:lang w:val="en-US" w:eastAsia="zh-CN"/>
        </w:rPr>
        <w:t>人民币。</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s="宋体"/>
          <w:color w:val="auto"/>
          <w:sz w:val="24"/>
          <w:lang w:val="en-US" w:eastAsia="zh-CN"/>
        </w:rPr>
        <w:t>4</w:t>
      </w:r>
      <w:r>
        <w:rPr>
          <w:rFonts w:hint="eastAsia" w:ascii="宋体" w:hAnsi="宋体" w:cs="宋体"/>
          <w:color w:val="auto"/>
          <w:sz w:val="24"/>
        </w:rPr>
        <w:t>投标人未被“信用中国”网站列入失信被执行人和重大税收违法案件当事人名单</w:t>
      </w:r>
      <w:r>
        <w:rPr>
          <w:rFonts w:hint="eastAsia" w:ascii="宋体" w:hAnsi="宋体" w:cs="宋体"/>
          <w:color w:val="auto"/>
          <w:sz w:val="24"/>
          <w:lang w:eastAsia="zh-CN"/>
        </w:rPr>
        <w:t>。</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本项目不接受联合体投标，不接受项目整体转包制造</w:t>
      </w:r>
      <w:r>
        <w:rPr>
          <w:rFonts w:hint="eastAsia" w:ascii="宋体" w:hAnsi="宋体" w:cs="宋体"/>
          <w:color w:val="auto"/>
          <w:sz w:val="24"/>
          <w:lang w:eastAsia="zh-CN"/>
        </w:rPr>
        <w:t>。</w:t>
      </w:r>
    </w:p>
    <w:p>
      <w:pPr>
        <w:pStyle w:val="63"/>
        <w:spacing w:line="440" w:lineRule="exact"/>
        <w:rPr>
          <w:rFonts w:ascii="宋体" w:hAnsi="宋体" w:cs="宋体"/>
          <w:b/>
          <w:color w:val="auto"/>
          <w:sz w:val="28"/>
        </w:rPr>
      </w:pPr>
      <w:bookmarkStart w:id="27" w:name="_Toc42003694"/>
      <w:bookmarkEnd w:id="27"/>
      <w:r>
        <w:rPr>
          <w:rFonts w:hint="eastAsia" w:ascii="宋体" w:hAnsi="宋体" w:cs="宋体"/>
          <w:b/>
          <w:color w:val="auto"/>
          <w:sz w:val="28"/>
          <w:lang w:val="en-US" w:eastAsia="zh-CN"/>
        </w:rPr>
        <w:t>5</w:t>
      </w:r>
      <w:r>
        <w:rPr>
          <w:rFonts w:hint="eastAsia" w:ascii="宋体" w:hAnsi="宋体" w:cs="宋体"/>
          <w:b/>
          <w:color w:val="auto"/>
          <w:sz w:val="28"/>
        </w:rPr>
        <w:t>．招标文件的获取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ascii="宋体" w:hAnsi="宋体" w:cs="宋体"/>
          <w:color w:val="auto"/>
          <w:kern w:val="0"/>
          <w:sz w:val="24"/>
        </w:rPr>
      </w:pPr>
      <w:r>
        <w:rPr>
          <w:rFonts w:hint="eastAsia" w:ascii="宋体" w:hAnsi="宋体" w:cs="宋体"/>
          <w:color w:val="auto"/>
          <w:sz w:val="24"/>
        </w:rPr>
        <w:t>请申请人从</w:t>
      </w:r>
      <w:r>
        <w:rPr>
          <w:rFonts w:ascii="宋体" w:hAnsi="宋体" w:cs="宋体"/>
          <w:b/>
          <w:color w:val="auto"/>
          <w:sz w:val="24"/>
        </w:rPr>
        <w:t>202</w:t>
      </w:r>
      <w:r>
        <w:rPr>
          <w:rFonts w:hint="eastAsia" w:ascii="宋体" w:hAnsi="宋体" w:cs="宋体"/>
          <w:b/>
          <w:color w:val="auto"/>
          <w:sz w:val="24"/>
        </w:rPr>
        <w:t>1年</w:t>
      </w:r>
      <w:r>
        <w:rPr>
          <w:rFonts w:hint="eastAsia" w:ascii="宋体" w:hAnsi="宋体" w:cs="宋体"/>
          <w:b/>
          <w:color w:val="auto"/>
          <w:sz w:val="24"/>
          <w:lang w:val="en-US" w:eastAsia="zh-CN"/>
        </w:rPr>
        <w:t>9</w:t>
      </w:r>
      <w:r>
        <w:rPr>
          <w:rFonts w:hint="eastAsia" w:ascii="宋体" w:hAnsi="宋体" w:cs="宋体"/>
          <w:b/>
          <w:color w:val="auto"/>
          <w:sz w:val="24"/>
        </w:rPr>
        <w:t>月</w:t>
      </w:r>
      <w:r>
        <w:rPr>
          <w:rFonts w:hint="eastAsia" w:ascii="宋体" w:hAnsi="宋体" w:cs="宋体"/>
          <w:b/>
          <w:color w:val="auto"/>
          <w:sz w:val="24"/>
          <w:lang w:val="en-US" w:eastAsia="zh-CN"/>
        </w:rPr>
        <w:t>29</w:t>
      </w:r>
      <w:r>
        <w:rPr>
          <w:rFonts w:hint="eastAsia" w:ascii="宋体" w:hAnsi="宋体" w:cs="宋体"/>
          <w:b/>
          <w:color w:val="auto"/>
          <w:sz w:val="24"/>
        </w:rPr>
        <w:t>日起至</w:t>
      </w:r>
      <w:r>
        <w:rPr>
          <w:rFonts w:hint="eastAsia" w:ascii="宋体" w:hAnsi="宋体" w:cs="宋体"/>
          <w:b/>
          <w:color w:val="auto"/>
          <w:sz w:val="24"/>
          <w:lang w:val="en-US" w:eastAsia="zh-CN"/>
        </w:rPr>
        <w:t>10</w:t>
      </w:r>
      <w:r>
        <w:rPr>
          <w:rFonts w:hint="eastAsia" w:ascii="宋体" w:hAnsi="宋体" w:cs="宋体"/>
          <w:b/>
          <w:color w:val="auto"/>
          <w:sz w:val="24"/>
        </w:rPr>
        <w:t>月</w:t>
      </w:r>
      <w:r>
        <w:rPr>
          <w:rFonts w:hint="eastAsia" w:ascii="宋体" w:hAnsi="宋体" w:cs="宋体"/>
          <w:b/>
          <w:color w:val="auto"/>
          <w:sz w:val="24"/>
          <w:lang w:val="en-US" w:eastAsia="zh-CN"/>
        </w:rPr>
        <w:t>19</w:t>
      </w:r>
      <w:r>
        <w:rPr>
          <w:rFonts w:hint="eastAsia" w:ascii="宋体" w:hAnsi="宋体" w:cs="宋体"/>
          <w:b/>
          <w:color w:val="auto"/>
          <w:sz w:val="24"/>
        </w:rPr>
        <w:t>日止（</w:t>
      </w:r>
      <w:r>
        <w:rPr>
          <w:rFonts w:hint="eastAsia" w:ascii="宋体" w:hAnsi="宋体" w:cs="宋体"/>
          <w:color w:val="auto"/>
          <w:sz w:val="24"/>
        </w:rPr>
        <w:t>法定公休日、法定节假日除外），</w:t>
      </w:r>
      <w:r>
        <w:rPr>
          <w:rFonts w:hint="eastAsia" w:ascii="宋体" w:hAnsi="宋体" w:cs="宋体"/>
          <w:color w:val="auto"/>
          <w:kern w:val="0"/>
          <w:sz w:val="24"/>
        </w:rPr>
        <w:t>在</w:t>
      </w:r>
      <w:r>
        <w:rPr>
          <w:rFonts w:hint="eastAsia" w:ascii="宋体" w:hAnsi="宋体"/>
          <w:color w:val="auto"/>
          <w:sz w:val="24"/>
          <w:lang w:val="en-US" w:eastAsia="zh-CN"/>
        </w:rPr>
        <w:t>广州电缆厂有限公司官网（网址：</w:t>
      </w:r>
      <w:r>
        <w:rPr>
          <w:rFonts w:hint="eastAsia" w:ascii="宋体" w:hAnsi="宋体"/>
          <w:sz w:val="24"/>
          <w:szCs w:val="24"/>
          <w:u w:val="single"/>
        </w:rPr>
        <w:t>http://www.gzdlc.com.cn</w:t>
      </w:r>
      <w:r>
        <w:rPr>
          <w:rFonts w:hint="eastAsia" w:ascii="宋体" w:hAnsi="宋体"/>
          <w:color w:val="auto"/>
          <w:sz w:val="24"/>
          <w:lang w:val="en-US" w:eastAsia="zh-CN"/>
        </w:rPr>
        <w:t>）和</w:t>
      </w:r>
      <w:r>
        <w:rPr>
          <w:rFonts w:hint="eastAsia" w:ascii="宋体" w:hAnsi="宋体"/>
          <w:sz w:val="24"/>
          <w:szCs w:val="24"/>
          <w:u w:val="none"/>
        </w:rPr>
        <w:t>广东省招投标监管网</w:t>
      </w:r>
      <w:r>
        <w:rPr>
          <w:rFonts w:hint="eastAsia" w:ascii="宋体" w:hAnsi="宋体"/>
          <w:color w:val="auto"/>
          <w:sz w:val="24"/>
          <w:lang w:val="en-US" w:eastAsia="zh-CN"/>
        </w:rPr>
        <w:t>（网址：http://zbtb.gd.gov.cn/login）自行下载</w:t>
      </w:r>
      <w:r>
        <w:rPr>
          <w:rFonts w:hint="eastAsia" w:ascii="宋体" w:hAnsi="宋体" w:cs="宋体"/>
          <w:color w:val="auto"/>
          <w:kern w:val="0"/>
          <w:sz w:val="24"/>
        </w:rPr>
        <w:t>招标文件。</w:t>
      </w:r>
    </w:p>
    <w:p>
      <w:pPr>
        <w:pStyle w:val="63"/>
        <w:spacing w:line="440" w:lineRule="exact"/>
        <w:rPr>
          <w:rFonts w:ascii="宋体" w:hAnsi="宋体" w:cs="宋体"/>
          <w:b/>
          <w:color w:val="auto"/>
          <w:sz w:val="28"/>
        </w:rPr>
      </w:pPr>
      <w:bookmarkStart w:id="28" w:name="_Toc6859602"/>
      <w:bookmarkEnd w:id="28"/>
      <w:bookmarkStart w:id="29" w:name="_Toc42003695"/>
      <w:bookmarkEnd w:id="29"/>
      <w:bookmarkStart w:id="30" w:name="_Toc497997772"/>
      <w:bookmarkEnd w:id="30"/>
      <w:bookmarkStart w:id="31" w:name="_Toc497997834"/>
      <w:bookmarkEnd w:id="31"/>
      <w:r>
        <w:rPr>
          <w:rFonts w:hint="eastAsia" w:ascii="宋体" w:hAnsi="宋体" w:cs="宋体"/>
          <w:b/>
          <w:color w:val="auto"/>
          <w:sz w:val="28"/>
          <w:lang w:val="en-US" w:eastAsia="zh-CN"/>
        </w:rPr>
        <w:t>6</w:t>
      </w:r>
      <w:r>
        <w:rPr>
          <w:rFonts w:hint="eastAsia" w:ascii="宋体" w:hAnsi="宋体" w:cs="宋体"/>
          <w:b/>
          <w:color w:val="auto"/>
          <w:sz w:val="28"/>
        </w:rPr>
        <w:t>．投标文件的递交</w:t>
      </w:r>
    </w:p>
    <w:p>
      <w:pPr>
        <w:spacing w:line="460" w:lineRule="exact"/>
        <w:ind w:firstLine="480"/>
        <w:rPr>
          <w:rFonts w:ascii="宋体" w:hAnsi="宋体"/>
          <w:color w:val="auto"/>
          <w:sz w:val="24"/>
        </w:rPr>
      </w:pPr>
      <w:r>
        <w:rPr>
          <w:rFonts w:hint="eastAsia" w:ascii="宋体" w:hAnsi="宋体"/>
          <w:color w:val="auto"/>
          <w:sz w:val="24"/>
        </w:rPr>
        <w:t>投标文件递交的截止时间是：</w:t>
      </w:r>
      <w:r>
        <w:rPr>
          <w:rFonts w:ascii="宋体" w:hAnsi="宋体"/>
          <w:color w:val="auto"/>
          <w:sz w:val="24"/>
        </w:rPr>
        <w:t>202</w:t>
      </w:r>
      <w:r>
        <w:rPr>
          <w:rFonts w:hint="eastAsia" w:ascii="宋体" w:hAnsi="宋体"/>
          <w:color w:val="auto"/>
          <w:sz w:val="24"/>
        </w:rPr>
        <w:t>1年</w:t>
      </w:r>
      <w:r>
        <w:rPr>
          <w:rFonts w:hint="eastAsia" w:ascii="宋体" w:hAnsi="宋体"/>
          <w:color w:val="auto"/>
          <w:sz w:val="24"/>
          <w:lang w:val="en-US" w:eastAsia="zh-CN"/>
        </w:rPr>
        <w:t>10</w:t>
      </w:r>
      <w:r>
        <w:rPr>
          <w:rFonts w:hint="eastAsia" w:ascii="宋体" w:hAnsi="宋体"/>
          <w:color w:val="auto"/>
          <w:sz w:val="24"/>
        </w:rPr>
        <w:t>月</w:t>
      </w:r>
      <w:r>
        <w:rPr>
          <w:rFonts w:hint="eastAsia" w:ascii="宋体" w:hAnsi="宋体"/>
          <w:color w:val="auto"/>
          <w:sz w:val="24"/>
          <w:lang w:val="en-US" w:eastAsia="zh-CN"/>
        </w:rPr>
        <w:t>19</w:t>
      </w:r>
      <w:r>
        <w:rPr>
          <w:rFonts w:hint="eastAsia" w:ascii="宋体" w:hAnsi="宋体"/>
          <w:color w:val="auto"/>
          <w:sz w:val="24"/>
        </w:rPr>
        <w:t>日</w:t>
      </w:r>
      <w:r>
        <w:rPr>
          <w:rFonts w:hint="eastAsia" w:ascii="宋体" w:hAnsi="宋体"/>
          <w:color w:val="auto"/>
          <w:sz w:val="24"/>
          <w:lang w:val="en-US" w:eastAsia="zh-CN"/>
        </w:rPr>
        <w:t>下</w:t>
      </w:r>
      <w:r>
        <w:rPr>
          <w:rFonts w:hint="eastAsia" w:ascii="宋体" w:hAnsi="宋体"/>
          <w:color w:val="auto"/>
          <w:sz w:val="24"/>
        </w:rPr>
        <w:t>午</w:t>
      </w:r>
      <w:r>
        <w:rPr>
          <w:rFonts w:hint="eastAsia" w:ascii="宋体" w:hAnsi="宋体"/>
          <w:color w:val="auto"/>
          <w:sz w:val="24"/>
          <w:lang w:val="en-US" w:eastAsia="zh-CN"/>
        </w:rPr>
        <w:t>17</w:t>
      </w:r>
      <w:r>
        <w:rPr>
          <w:rFonts w:ascii="宋体" w:hAnsi="宋体"/>
          <w:color w:val="auto"/>
          <w:sz w:val="24"/>
        </w:rPr>
        <w:t>:</w:t>
      </w:r>
      <w:r>
        <w:rPr>
          <w:rFonts w:hint="eastAsia" w:ascii="宋体" w:hAnsi="宋体"/>
          <w:color w:val="auto"/>
          <w:sz w:val="24"/>
          <w:lang w:val="en-US" w:eastAsia="zh-CN"/>
        </w:rPr>
        <w:t>0</w:t>
      </w:r>
      <w:r>
        <w:rPr>
          <w:rFonts w:ascii="宋体" w:hAnsi="宋体"/>
          <w:color w:val="auto"/>
          <w:sz w:val="24"/>
        </w:rPr>
        <w:t>0</w:t>
      </w:r>
      <w:r>
        <w:rPr>
          <w:rFonts w:hint="eastAsia" w:ascii="宋体" w:hAnsi="宋体"/>
          <w:color w:val="auto"/>
          <w:sz w:val="24"/>
        </w:rPr>
        <w:t>（北京时间）；</w:t>
      </w:r>
    </w:p>
    <w:p>
      <w:pPr>
        <w:spacing w:line="460" w:lineRule="exact"/>
        <w:ind w:firstLine="480"/>
        <w:rPr>
          <w:rFonts w:ascii="宋体" w:hAnsi="宋体"/>
          <w:color w:val="000000" w:themeColor="text1"/>
          <w:sz w:val="24"/>
          <w14:textFill>
            <w14:solidFill>
              <w14:schemeClr w14:val="tx1"/>
            </w14:solidFill>
          </w14:textFill>
        </w:rPr>
      </w:pPr>
      <w:r>
        <w:rPr>
          <w:rFonts w:hint="eastAsia" w:ascii="宋体" w:hAnsi="宋体"/>
          <w:color w:val="auto"/>
          <w:sz w:val="24"/>
        </w:rPr>
        <w:t>投标文件现场递交的地点是：</w:t>
      </w:r>
      <w:r>
        <w:rPr>
          <w:rFonts w:hint="eastAsia" w:ascii="宋体" w:hAnsi="宋体" w:cs="宋体"/>
          <w:color w:val="auto"/>
          <w:sz w:val="24"/>
          <w:lang w:val="en-US" w:eastAsia="zh-CN"/>
        </w:rPr>
        <w:t>广州市南沙区榄核镇榄张路51号</w:t>
      </w:r>
      <w:r>
        <w:rPr>
          <w:rFonts w:hint="eastAsia" w:ascii="宋体" w:hAnsi="宋体" w:cs="宋体"/>
          <w:color w:val="auto"/>
          <w:sz w:val="24"/>
          <w:lang w:eastAsia="zh-CN"/>
        </w:rPr>
        <w:t>广州电缆厂有限公</w:t>
      </w:r>
      <w:r>
        <w:rPr>
          <w:rFonts w:hint="eastAsia" w:ascii="宋体" w:hAnsi="宋体" w:cs="宋体"/>
          <w:sz w:val="24"/>
          <w:lang w:eastAsia="zh-CN"/>
        </w:rPr>
        <w:t>司</w:t>
      </w:r>
      <w:r>
        <w:rPr>
          <w:rFonts w:hint="eastAsia" w:ascii="宋体" w:hAnsi="宋体" w:cs="宋体"/>
          <w:sz w:val="24"/>
          <w:lang w:val="en-US" w:eastAsia="zh-CN"/>
        </w:rPr>
        <w:t>采购部</w:t>
      </w:r>
      <w:r>
        <w:rPr>
          <w:rFonts w:hint="eastAsia" w:ascii="宋体" w:hAnsi="宋体"/>
          <w:color w:val="000000" w:themeColor="text1"/>
          <w:sz w:val="24"/>
          <w14:textFill>
            <w14:solidFill>
              <w14:schemeClr w14:val="tx1"/>
            </w14:solidFill>
          </w14:textFill>
        </w:rPr>
        <w:t>（在投标截止时间后收到的投标文件恕不接受）。</w:t>
      </w:r>
    </w:p>
    <w:p>
      <w:pPr>
        <w:spacing w:line="460" w:lineRule="exact"/>
        <w:ind w:firstLine="480"/>
        <w:rPr>
          <w:rFonts w:ascii="宋体" w:hAnsi="宋体"/>
          <w:sz w:val="24"/>
        </w:rPr>
      </w:pPr>
      <w:r>
        <w:rPr>
          <w:rFonts w:hint="eastAsia" w:ascii="宋体" w:hAnsi="宋体"/>
          <w:sz w:val="24"/>
        </w:rPr>
        <w:t>投标文件邮寄地址：</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lang w:val="en-US" w:eastAsia="zh-CN"/>
        </w:rPr>
        <w:t>采购部，</w:t>
      </w:r>
      <w:r>
        <w:rPr>
          <w:sz w:val="24"/>
        </w:rPr>
        <w:t>邮编</w:t>
      </w:r>
      <w:r>
        <w:rPr>
          <w:rFonts w:hint="eastAsia"/>
          <w:sz w:val="24"/>
          <w:lang w:eastAsia="zh-CN"/>
        </w:rPr>
        <w:t>：</w:t>
      </w:r>
      <w:r>
        <w:rPr>
          <w:rFonts w:hint="eastAsia"/>
          <w:sz w:val="24"/>
          <w:lang w:val="en-US" w:eastAsia="zh-CN"/>
        </w:rPr>
        <w:t>511400</w:t>
      </w:r>
      <w:r>
        <w:rPr>
          <w:rFonts w:hint="eastAsia" w:ascii="宋体" w:hAnsi="宋体"/>
          <w:sz w:val="24"/>
        </w:rPr>
        <w:t>，接</w:t>
      </w:r>
      <w:r>
        <w:rPr>
          <w:rFonts w:hint="eastAsia" w:ascii="宋体" w:hAnsi="宋体"/>
          <w:sz w:val="24"/>
          <w:lang w:val="en-US" w:eastAsia="zh-CN"/>
        </w:rPr>
        <w:t>收</w:t>
      </w:r>
      <w:r>
        <w:rPr>
          <w:rFonts w:hint="eastAsia" w:ascii="宋体" w:hAnsi="宋体"/>
          <w:sz w:val="24"/>
        </w:rPr>
        <w:t>人</w:t>
      </w:r>
      <w:r>
        <w:rPr>
          <w:rFonts w:hint="eastAsia" w:ascii="宋体" w:hAnsi="宋体"/>
          <w:sz w:val="24"/>
          <w:lang w:eastAsia="zh-CN"/>
        </w:rPr>
        <w:t>：</w:t>
      </w:r>
      <w:r>
        <w:rPr>
          <w:rFonts w:hint="eastAsia" w:ascii="宋体" w:hAnsi="宋体"/>
          <w:sz w:val="24"/>
          <w:lang w:val="en-US" w:eastAsia="zh-CN"/>
        </w:rPr>
        <w:t>黄工（联系方式：15989118997</w:t>
      </w:r>
      <w:r>
        <w:rPr>
          <w:rFonts w:hint="eastAsia" w:ascii="宋体" w:hAnsi="宋体"/>
          <w:sz w:val="24"/>
          <w:lang w:eastAsia="zh-CN"/>
        </w:rPr>
        <w:t>）</w:t>
      </w:r>
      <w:r>
        <w:rPr>
          <w:rFonts w:hint="eastAsia" w:ascii="宋体" w:hAnsi="宋体"/>
          <w:sz w:val="24"/>
        </w:rPr>
        <w:t>（采取邮寄方式的投标人须确保投标文件在开标截止时间的两个工作日前收到）。</w:t>
      </w:r>
    </w:p>
    <w:p>
      <w:pPr>
        <w:pStyle w:val="63"/>
        <w:spacing w:line="440" w:lineRule="exact"/>
        <w:rPr>
          <w:rFonts w:ascii="宋体" w:hAnsi="宋体" w:cs="宋体"/>
          <w:b/>
          <w:sz w:val="28"/>
        </w:rPr>
      </w:pPr>
      <w:bookmarkStart w:id="32" w:name="_Toc497997773"/>
      <w:bookmarkEnd w:id="32"/>
      <w:bookmarkStart w:id="33" w:name="_Toc42003696"/>
      <w:bookmarkEnd w:id="33"/>
      <w:bookmarkStart w:id="34" w:name="_Toc6859603"/>
      <w:bookmarkEnd w:id="34"/>
      <w:bookmarkStart w:id="35" w:name="_Toc497997835"/>
      <w:bookmarkEnd w:id="35"/>
      <w:r>
        <w:rPr>
          <w:rFonts w:hint="eastAsia" w:ascii="宋体" w:hAnsi="宋体" w:cs="宋体"/>
          <w:b/>
          <w:sz w:val="28"/>
          <w:lang w:val="en-US" w:eastAsia="zh-CN"/>
        </w:rPr>
        <w:t>7</w:t>
      </w:r>
      <w:r>
        <w:rPr>
          <w:rFonts w:hint="eastAsia" w:ascii="宋体" w:hAnsi="宋体" w:cs="宋体"/>
          <w:b/>
          <w:sz w:val="28"/>
        </w:rPr>
        <w:t>．开标时间和地点</w:t>
      </w:r>
    </w:p>
    <w:p>
      <w:pPr>
        <w:spacing w:line="460" w:lineRule="exact"/>
        <w:rPr>
          <w:rFonts w:ascii="宋体" w:hAnsi="宋体"/>
          <w:sz w:val="24"/>
        </w:rPr>
      </w:pPr>
      <w:r>
        <w:rPr>
          <w:rFonts w:hint="eastAsia" w:ascii="宋体" w:hAnsi="宋体"/>
          <w:sz w:val="24"/>
        </w:rPr>
        <w:t xml:space="preserve">   开标</w:t>
      </w:r>
      <w:r>
        <w:rPr>
          <w:rFonts w:hint="eastAsia" w:ascii="宋体" w:hAnsi="宋体"/>
          <w:color w:val="000000" w:themeColor="text1"/>
          <w:sz w:val="24"/>
          <w14:textFill>
            <w14:solidFill>
              <w14:schemeClr w14:val="tx1"/>
            </w14:solidFill>
          </w14:textFill>
        </w:rPr>
        <w:t>时间定于</w:t>
      </w:r>
      <w:r>
        <w:rPr>
          <w:rFonts w:ascii="宋体" w:hAnsi="宋体"/>
          <w:color w:val="000000" w:themeColor="text1"/>
          <w:sz w:val="24"/>
          <w14:textFill>
            <w14:solidFill>
              <w14:schemeClr w14:val="tx1"/>
            </w14:solidFill>
          </w14:textFill>
        </w:rPr>
        <w:t>202</w:t>
      </w:r>
      <w:r>
        <w:rPr>
          <w:rFonts w:hint="eastAsia" w:ascii="宋体" w:hAnsi="宋体"/>
          <w:color w:val="000000" w:themeColor="text1"/>
          <w:sz w:val="24"/>
          <w14:textFill>
            <w14:solidFill>
              <w14:schemeClr w14:val="tx1"/>
            </w14:solidFill>
          </w14:textFill>
        </w:rPr>
        <w:t>1年</w:t>
      </w:r>
      <w:r>
        <w:rPr>
          <w:rFonts w:hint="eastAsia" w:ascii="宋体" w:hAnsi="宋体"/>
          <w:color w:val="000000" w:themeColor="text1"/>
          <w:sz w:val="24"/>
          <w:lang w:val="en-US" w:eastAsia="zh-CN"/>
          <w14:textFill>
            <w14:solidFill>
              <w14:schemeClr w14:val="tx1"/>
            </w14:solidFill>
          </w14:textFill>
        </w:rPr>
        <w:t>10</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20</w:t>
      </w:r>
      <w:r>
        <w:rPr>
          <w:rFonts w:hint="eastAsia" w:ascii="宋体" w:hAnsi="宋体"/>
          <w:color w:val="000000" w:themeColor="text1"/>
          <w:sz w:val="24"/>
          <w14:textFill>
            <w14:solidFill>
              <w14:schemeClr w14:val="tx1"/>
            </w14:solidFill>
          </w14:textFill>
        </w:rPr>
        <w:t>日</w:t>
      </w:r>
      <w:r>
        <w:rPr>
          <w:rFonts w:hint="eastAsia" w:ascii="宋体" w:hAnsi="宋体"/>
          <w:color w:val="000000" w:themeColor="text1"/>
          <w:sz w:val="24"/>
          <w:lang w:val="en-US" w:eastAsia="zh-CN"/>
          <w14:textFill>
            <w14:solidFill>
              <w14:schemeClr w14:val="tx1"/>
            </w14:solidFill>
          </w14:textFill>
        </w:rPr>
        <w:t>上</w:t>
      </w:r>
      <w:r>
        <w:rPr>
          <w:rFonts w:hint="eastAsia" w:ascii="宋体" w:hAnsi="宋体"/>
          <w:color w:val="000000" w:themeColor="text1"/>
          <w:sz w:val="24"/>
          <w14:textFill>
            <w14:solidFill>
              <w14:schemeClr w14:val="tx1"/>
            </w14:solidFill>
          </w14:textFill>
        </w:rPr>
        <w:t>午</w:t>
      </w:r>
      <w:r>
        <w:rPr>
          <w:rFonts w:hint="eastAsia" w:ascii="宋体" w:hAnsi="宋体"/>
          <w:color w:val="000000" w:themeColor="text1"/>
          <w:sz w:val="24"/>
          <w:lang w:val="en-US" w:eastAsia="zh-CN"/>
          <w14:textFill>
            <w14:solidFill>
              <w14:schemeClr w14:val="tx1"/>
            </w14:solidFill>
          </w14:textFill>
        </w:rPr>
        <w:t>10</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0</w:t>
      </w:r>
      <w:r>
        <w:rPr>
          <w:rFonts w:ascii="宋体" w:hAnsi="宋体"/>
          <w:color w:val="000000" w:themeColor="text1"/>
          <w:sz w:val="24"/>
          <w14:textFill>
            <w14:solidFill>
              <w14:schemeClr w14:val="tx1"/>
            </w14:solidFill>
          </w14:textFill>
        </w:rPr>
        <w:t>0 (</w:t>
      </w:r>
      <w:r>
        <w:rPr>
          <w:rFonts w:hint="eastAsia" w:ascii="宋体" w:hAnsi="宋体"/>
          <w:color w:val="000000" w:themeColor="text1"/>
          <w:sz w:val="24"/>
          <w14:textFill>
            <w14:solidFill>
              <w14:schemeClr w14:val="tx1"/>
            </w14:solidFill>
          </w14:textFill>
        </w:rPr>
        <w:t>北京时间</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，开标地点设于</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sz w:val="24"/>
        </w:rPr>
        <w:t>。</w:t>
      </w:r>
    </w:p>
    <w:p>
      <w:pPr>
        <w:pStyle w:val="63"/>
        <w:spacing w:line="440" w:lineRule="exact"/>
        <w:rPr>
          <w:rFonts w:ascii="宋体" w:hAnsi="宋体" w:cs="宋体"/>
          <w:b/>
        </w:rPr>
      </w:pPr>
      <w:bookmarkStart w:id="36" w:name="_Toc42003697"/>
      <w:bookmarkEnd w:id="36"/>
      <w:bookmarkStart w:id="37" w:name="_Toc497997836"/>
      <w:bookmarkEnd w:id="37"/>
      <w:bookmarkStart w:id="38" w:name="_Toc497997774"/>
      <w:bookmarkEnd w:id="38"/>
      <w:bookmarkStart w:id="39" w:name="_Toc6859604"/>
      <w:bookmarkEnd w:id="39"/>
      <w:r>
        <w:rPr>
          <w:rFonts w:hint="eastAsia" w:ascii="宋体" w:hAnsi="宋体" w:cs="宋体"/>
          <w:b/>
          <w:sz w:val="28"/>
          <w:lang w:val="en-US" w:eastAsia="zh-CN"/>
        </w:rPr>
        <w:t>8</w:t>
      </w:r>
      <w:r>
        <w:rPr>
          <w:rFonts w:hint="eastAsia" w:ascii="宋体" w:hAnsi="宋体" w:cs="宋体"/>
          <w:b/>
          <w:sz w:val="28"/>
        </w:rPr>
        <w:t>．发布公告的媒介</w:t>
      </w:r>
    </w:p>
    <w:p>
      <w:pPr>
        <w:pStyle w:val="31"/>
        <w:spacing w:line="360" w:lineRule="auto"/>
        <w:ind w:firstLine="480"/>
        <w:rPr>
          <w:rFonts w:ascii="宋体" w:hAnsi="宋体"/>
        </w:rPr>
      </w:pPr>
      <w:r>
        <w:rPr>
          <w:rFonts w:hint="eastAsia" w:ascii="宋体" w:hAnsi="宋体"/>
        </w:rPr>
        <w:t>本次招标在</w:t>
      </w:r>
      <w:r>
        <w:rPr>
          <w:rFonts w:hint="eastAsia" w:ascii="宋体" w:hAnsi="宋体"/>
          <w:color w:val="FF0000"/>
          <w:sz w:val="24"/>
          <w:lang w:val="en-US" w:eastAsia="zh-CN"/>
        </w:rPr>
        <w:t>广州电缆厂有限公司官网（网址：</w:t>
      </w:r>
      <w:r>
        <w:rPr>
          <w:rFonts w:hint="eastAsia" w:ascii="宋体" w:hAnsi="宋体"/>
          <w:sz w:val="24"/>
          <w:szCs w:val="24"/>
          <w:u w:val="single"/>
        </w:rPr>
        <w:t>http://www.gzdlc.com.cn</w:t>
      </w:r>
      <w:r>
        <w:rPr>
          <w:rFonts w:hint="eastAsia" w:ascii="宋体" w:hAnsi="宋体"/>
          <w:color w:val="FF0000"/>
          <w:sz w:val="24"/>
          <w:lang w:val="en-US" w:eastAsia="zh-CN"/>
        </w:rPr>
        <w:t>）和广东省招投标网（网址：</w:t>
      </w:r>
      <w:r>
        <w:rPr>
          <w:rFonts w:hint="eastAsia" w:ascii="宋体" w:hAnsi="宋体"/>
          <w:color w:val="auto"/>
          <w:sz w:val="24"/>
          <w:lang w:val="en-US" w:eastAsia="zh-CN"/>
        </w:rPr>
        <w:t>http://zbtb.gd.gov.cn/login</w:t>
      </w:r>
      <w:r>
        <w:rPr>
          <w:rFonts w:hint="eastAsia" w:ascii="宋体" w:hAnsi="宋体"/>
          <w:color w:val="FF0000"/>
          <w:sz w:val="24"/>
          <w:lang w:val="en-US" w:eastAsia="zh-CN"/>
        </w:rPr>
        <w:t>）</w:t>
      </w:r>
      <w:r>
        <w:rPr>
          <w:rFonts w:hint="eastAsia" w:ascii="宋体" w:hAnsi="宋体"/>
        </w:rPr>
        <w:t>上发布公告。</w:t>
      </w:r>
    </w:p>
    <w:p>
      <w:pPr>
        <w:pStyle w:val="63"/>
        <w:spacing w:line="440" w:lineRule="exact"/>
        <w:rPr>
          <w:rFonts w:ascii="宋体" w:hAnsi="宋体" w:cs="宋体"/>
          <w:b/>
          <w:sz w:val="28"/>
          <w:szCs w:val="32"/>
        </w:rPr>
      </w:pPr>
      <w:bookmarkStart w:id="40" w:name="_Toc6859605"/>
      <w:bookmarkEnd w:id="40"/>
      <w:bookmarkStart w:id="41" w:name="_Toc42003698"/>
      <w:bookmarkEnd w:id="41"/>
      <w:bookmarkStart w:id="42" w:name="_Toc497997837"/>
      <w:bookmarkEnd w:id="42"/>
      <w:bookmarkStart w:id="43" w:name="_Toc497997775"/>
      <w:bookmarkEnd w:id="43"/>
      <w:r>
        <w:rPr>
          <w:rFonts w:hint="eastAsia" w:ascii="宋体" w:hAnsi="宋体" w:cs="宋体"/>
          <w:b/>
          <w:sz w:val="28"/>
          <w:lang w:val="en-US" w:eastAsia="zh-CN"/>
        </w:rPr>
        <w:t>9</w:t>
      </w:r>
      <w:r>
        <w:rPr>
          <w:rFonts w:hint="eastAsia" w:ascii="宋体" w:hAnsi="宋体" w:cs="宋体"/>
          <w:b/>
          <w:sz w:val="28"/>
        </w:rPr>
        <w:t>．联系方式</w:t>
      </w:r>
    </w:p>
    <w:p>
      <w:pPr>
        <w:tabs>
          <w:tab w:val="left" w:pos="4720"/>
          <w:tab w:val="left" w:pos="8300"/>
        </w:tabs>
        <w:spacing w:line="440" w:lineRule="exact"/>
        <w:ind w:right="-23" w:firstLine="480"/>
        <w:jc w:val="left"/>
        <w:rPr>
          <w:rFonts w:hint="eastAsia" w:ascii="宋体" w:hAnsi="宋体" w:eastAsia="宋体" w:cs="宋体"/>
          <w:sz w:val="24"/>
          <w:lang w:eastAsia="zh-CN"/>
        </w:rPr>
      </w:pPr>
      <w:r>
        <w:rPr>
          <w:rFonts w:hint="eastAsia" w:ascii="宋体" w:hAnsi="宋体" w:cs="宋体"/>
          <w:sz w:val="24"/>
        </w:rPr>
        <w:t>招标人：</w:t>
      </w:r>
      <w:r>
        <w:rPr>
          <w:rFonts w:hint="eastAsia" w:ascii="宋体" w:hAnsi="宋体" w:cs="宋体"/>
          <w:sz w:val="24"/>
          <w:lang w:eastAsia="zh-CN"/>
        </w:rPr>
        <w:t>广州电缆厂有限公司</w:t>
      </w:r>
    </w:p>
    <w:p>
      <w:pPr>
        <w:tabs>
          <w:tab w:val="left" w:pos="4720"/>
          <w:tab w:val="left" w:pos="8300"/>
        </w:tabs>
        <w:spacing w:line="440" w:lineRule="exact"/>
        <w:ind w:right="-23" w:firstLine="480"/>
        <w:jc w:val="left"/>
        <w:rPr>
          <w:rFonts w:hint="eastAsia" w:ascii="宋体" w:hAnsi="宋体" w:cs="宋体"/>
          <w:sz w:val="24"/>
        </w:rPr>
      </w:pPr>
      <w:r>
        <w:rPr>
          <w:rFonts w:hint="eastAsia" w:ascii="宋体" w:hAnsi="宋体" w:cs="宋体"/>
          <w:sz w:val="24"/>
        </w:rPr>
        <w:t>地址：</w:t>
      </w:r>
      <w:r>
        <w:rPr>
          <w:rFonts w:hint="eastAsia" w:ascii="宋体" w:hAnsi="宋体" w:cs="宋体"/>
          <w:sz w:val="24"/>
          <w:lang w:val="en-US" w:eastAsia="zh-CN"/>
        </w:rPr>
        <w:t>广州市南沙区榄核镇榄张路51号</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lang w:eastAsia="zh-CN"/>
        </w:rPr>
        <w:t>商务</w:t>
      </w:r>
      <w:r>
        <w:rPr>
          <w:rFonts w:hint="eastAsia" w:ascii="宋体" w:hAnsi="宋体" w:cs="宋体"/>
          <w:sz w:val="24"/>
        </w:rPr>
        <w:t>联系人：</w:t>
      </w:r>
      <w:r>
        <w:rPr>
          <w:rFonts w:hint="eastAsia" w:ascii="宋体" w:hAnsi="宋体" w:cs="宋体"/>
          <w:sz w:val="24"/>
          <w:lang w:val="en-US" w:eastAsia="zh-CN"/>
        </w:rPr>
        <w:t>黄文敏</w:t>
      </w:r>
      <w:r>
        <w:rPr>
          <w:rFonts w:hint="eastAsia" w:ascii="宋体" w:hAnsi="宋体" w:cs="宋体"/>
          <w:sz w:val="24"/>
        </w:rPr>
        <w:t xml:space="preserve">   电话：</w:t>
      </w:r>
      <w:r>
        <w:rPr>
          <w:rFonts w:hint="eastAsia" w:ascii="宋体" w:hAnsi="宋体" w:cs="宋体"/>
          <w:sz w:val="24"/>
          <w:lang w:val="en-US" w:eastAsia="zh-CN"/>
        </w:rPr>
        <w:t>15989118997、</w:t>
      </w:r>
      <w:r>
        <w:rPr>
          <w:rFonts w:hint="eastAsia" w:ascii="宋体" w:hAnsi="宋体" w:cs="宋体"/>
          <w:sz w:val="24"/>
        </w:rPr>
        <w:t>020-</w:t>
      </w:r>
      <w:r>
        <w:rPr>
          <w:rFonts w:hint="eastAsia" w:ascii="宋体" w:hAnsi="宋体" w:cs="宋体"/>
          <w:sz w:val="24"/>
          <w:lang w:val="en-US" w:eastAsia="zh-CN"/>
        </w:rPr>
        <w:t>81982161</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rPr>
        <w:t>电 子  邮 件：</w:t>
      </w:r>
      <w:r>
        <w:rPr>
          <w:rFonts w:hint="eastAsia" w:ascii="宋体" w:hAnsi="宋体" w:cs="宋体"/>
          <w:sz w:val="24"/>
          <w:lang w:val="en-US" w:eastAsia="zh-CN"/>
        </w:rPr>
        <w:t>caigoubu@gzdlc.com.cn</w:t>
      </w: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jc w:val="left"/>
      </w:pPr>
      <w:r>
        <w:br w:type="page"/>
      </w:r>
    </w:p>
    <w:p>
      <w:pPr>
        <w:pStyle w:val="36"/>
      </w:pPr>
      <w:bookmarkStart w:id="44" w:name="_Toc42003699"/>
      <w:bookmarkEnd w:id="44"/>
      <w:bookmarkStart w:id="45" w:name="_Toc69378300"/>
      <w:r>
        <w:t>第二部分　投标人须知</w:t>
      </w:r>
      <w:bookmarkEnd w:id="45"/>
    </w:p>
    <w:p>
      <w:pPr>
        <w:pStyle w:val="63"/>
        <w:spacing w:line="460" w:lineRule="exact"/>
        <w:ind w:right="-74" w:firstLine="0"/>
        <w:jc w:val="center"/>
        <w:rPr>
          <w:b/>
          <w:sz w:val="40"/>
          <w:szCs w:val="28"/>
        </w:rPr>
      </w:pPr>
      <w:bookmarkStart w:id="46" w:name="_Toc42003700"/>
      <w:bookmarkEnd w:id="46"/>
      <w:r>
        <w:rPr>
          <w:b/>
          <w:sz w:val="28"/>
        </w:rPr>
        <w:t>投标须知前附表</w:t>
      </w:r>
    </w:p>
    <w:tbl>
      <w:tblPr>
        <w:tblStyle w:val="42"/>
        <w:tblW w:w="9606" w:type="dxa"/>
        <w:tblInd w:w="-108" w:type="dxa"/>
        <w:tblLayout w:type="fixed"/>
        <w:tblCellMar>
          <w:top w:w="0" w:type="dxa"/>
          <w:left w:w="10" w:type="dxa"/>
          <w:bottom w:w="0" w:type="dxa"/>
          <w:right w:w="10" w:type="dxa"/>
        </w:tblCellMar>
      </w:tblPr>
      <w:tblGrid>
        <w:gridCol w:w="696"/>
        <w:gridCol w:w="8910"/>
      </w:tblGrid>
      <w:tr>
        <w:tblPrEx>
          <w:tblLayout w:type="fixed"/>
          <w:tblCellMar>
            <w:top w:w="0" w:type="dxa"/>
            <w:left w:w="10" w:type="dxa"/>
            <w:bottom w:w="0" w:type="dxa"/>
            <w:right w:w="10" w:type="dxa"/>
          </w:tblCellMar>
        </w:tblPrEx>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rPr>
                <w:sz w:val="24"/>
              </w:rPr>
            </w:pPr>
            <w:r>
              <w:rPr>
                <w:sz w:val="24"/>
              </w:rPr>
              <w:t>序号</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内    容</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s="宋体"/>
                <w:sz w:val="24"/>
              </w:rPr>
            </w:pPr>
            <w:r>
              <w:rPr>
                <w:sz w:val="24"/>
              </w:rPr>
              <w:t>项目名称：</w:t>
            </w:r>
            <w:r>
              <w:rPr>
                <w:rFonts w:hint="eastAsia" w:ascii="宋体" w:hAnsi="宋体" w:cs="宋体"/>
                <w:sz w:val="24"/>
                <w:lang w:eastAsia="zh-CN"/>
              </w:rPr>
              <w:t>广州电缆厂有限公司</w:t>
            </w:r>
            <w:r>
              <w:rPr>
                <w:rFonts w:hint="eastAsia" w:ascii="宋体" w:hAnsi="宋体" w:cs="宋体"/>
                <w:sz w:val="24"/>
                <w:lang w:val="en-US" w:eastAsia="zh-CN"/>
              </w:rPr>
              <w:t>双头分电机大拉机设备</w:t>
            </w:r>
            <w:r>
              <w:rPr>
                <w:rFonts w:hint="eastAsia" w:ascii="宋体" w:hAnsi="宋体" w:cs="宋体"/>
                <w:sz w:val="24"/>
              </w:rPr>
              <w:t>采购</w:t>
            </w:r>
          </w:p>
          <w:p>
            <w:pPr>
              <w:spacing w:line="360" w:lineRule="auto"/>
              <w:ind w:left="29" w:hanging="29"/>
              <w:rPr>
                <w:sz w:val="24"/>
              </w:rPr>
            </w:pPr>
            <w:r>
              <w:rPr>
                <w:sz w:val="24"/>
              </w:rPr>
              <w:t>交货地点：</w:t>
            </w:r>
            <w:r>
              <w:rPr>
                <w:rFonts w:hint="eastAsia" w:ascii="宋体" w:hAnsi="宋体" w:cs="宋体"/>
                <w:sz w:val="24"/>
                <w:lang w:eastAsia="zh-CN"/>
              </w:rPr>
              <w:t>广州电缆厂有限公司</w:t>
            </w:r>
            <w:r>
              <w:rPr>
                <w:rFonts w:hint="eastAsia" w:ascii="宋体" w:hAnsi="宋体" w:cs="宋体"/>
                <w:sz w:val="24"/>
              </w:rPr>
              <w:t>项目</w:t>
            </w:r>
            <w:r>
              <w:rPr>
                <w:rFonts w:hint="eastAsia" w:ascii="宋体" w:hAnsi="宋体" w:cs="宋体"/>
                <w:sz w:val="24"/>
                <w:lang w:eastAsia="zh-CN"/>
              </w:rPr>
              <w:t>安装</w:t>
            </w:r>
            <w:r>
              <w:rPr>
                <w:rFonts w:hint="eastAsia" w:ascii="宋体" w:hAnsi="宋体" w:cs="宋体"/>
                <w:sz w:val="24"/>
              </w:rPr>
              <w:t>现场</w:t>
            </w:r>
          </w:p>
          <w:p>
            <w:pPr>
              <w:spacing w:line="360" w:lineRule="auto"/>
              <w:ind w:left="29" w:hanging="29"/>
              <w:rPr>
                <w:sz w:val="24"/>
              </w:rPr>
            </w:pPr>
            <w:r>
              <w:rPr>
                <w:sz w:val="24"/>
              </w:rPr>
              <w:t>质量要求：符合国家有关规范、标准</w:t>
            </w:r>
            <w:r>
              <w:rPr>
                <w:rFonts w:hint="eastAsia" w:ascii="宋体" w:hAnsi="宋体" w:cs="宋体"/>
                <w:bCs/>
                <w:sz w:val="24"/>
              </w:rPr>
              <w:t>，性能良好。</w:t>
            </w:r>
          </w:p>
          <w:p>
            <w:pPr>
              <w:spacing w:line="360" w:lineRule="auto"/>
              <w:ind w:left="29" w:hanging="29"/>
              <w:rPr>
                <w:rFonts w:ascii="宋体" w:hAnsi="宋体"/>
                <w:sz w:val="24"/>
              </w:rPr>
            </w:pPr>
            <w:r>
              <w:rPr>
                <w:sz w:val="24"/>
              </w:rPr>
              <w:t>质保期：</w:t>
            </w:r>
            <w:r>
              <w:rPr>
                <w:rFonts w:hint="eastAsia" w:ascii="宋体" w:hAnsi="宋体"/>
                <w:sz w:val="24"/>
              </w:rPr>
              <w:t>产品到厂验收合格后12个月。</w:t>
            </w:r>
          </w:p>
          <w:p>
            <w:pPr>
              <w:spacing w:line="360" w:lineRule="auto"/>
              <w:ind w:left="29" w:hanging="29"/>
              <w:rPr>
                <w:sz w:val="24"/>
              </w:rPr>
            </w:pPr>
            <w:r>
              <w:rPr>
                <w:sz w:val="24"/>
              </w:rPr>
              <w:t>招标范围：具体范围见第三部分货物需求一览表。</w:t>
            </w:r>
          </w:p>
          <w:p>
            <w:pPr>
              <w:pStyle w:val="15"/>
              <w:rPr>
                <w:rFonts w:hint="eastAsia" w:eastAsia="宋体"/>
                <w:sz w:val="24"/>
                <w:lang w:val="en-US" w:eastAsia="zh-CN"/>
              </w:rPr>
            </w:pPr>
            <w:r>
              <w:rPr>
                <w:rFonts w:ascii="Times New Roman" w:hAnsi="Times New Roman" w:eastAsia="宋体" w:cs="Times New Roman"/>
                <w:kern w:val="1"/>
                <w:sz w:val="24"/>
                <w:szCs w:val="24"/>
                <w:lang w:val="en-US" w:eastAsia="zh-CN" w:bidi="ar-SA"/>
              </w:rPr>
              <w:t>交货时间：</w:t>
            </w:r>
            <w:r>
              <w:rPr>
                <w:rFonts w:hint="eastAsia" w:ascii="Times New Roman" w:hAnsi="Times New Roman" w:eastAsia="宋体" w:cs="Times New Roman"/>
                <w:kern w:val="1"/>
                <w:sz w:val="24"/>
                <w:szCs w:val="24"/>
                <w:lang w:val="en-US" w:eastAsia="zh-CN" w:bidi="ar-SA"/>
              </w:rPr>
              <w:t>210个日历日</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sz w:val="24"/>
              </w:rPr>
              <w:t>报价含</w:t>
            </w:r>
            <w:r>
              <w:rPr>
                <w:rFonts w:hint="eastAsia"/>
                <w:sz w:val="24"/>
              </w:rPr>
              <w:t>招标文件要求</w:t>
            </w:r>
            <w:r>
              <w:rPr>
                <w:sz w:val="24"/>
              </w:rPr>
              <w:t>范围内技术资料、技术服务等费用，还包括合同</w:t>
            </w:r>
            <w:r>
              <w:rPr>
                <w:rFonts w:hint="eastAsia"/>
                <w:sz w:val="24"/>
              </w:rPr>
              <w:t>设备</w:t>
            </w:r>
            <w:r>
              <w:rPr>
                <w:sz w:val="24"/>
              </w:rPr>
              <w:t>的税费、运杂费（从制造厂至交货地点）</w:t>
            </w:r>
            <w:r>
              <w:rPr>
                <w:rFonts w:hint="eastAsia"/>
                <w:sz w:val="24"/>
              </w:rPr>
              <w:t>、</w:t>
            </w:r>
            <w:r>
              <w:rPr>
                <w:rFonts w:hint="eastAsia"/>
                <w:sz w:val="24"/>
                <w:lang w:eastAsia="zh-CN"/>
              </w:rPr>
              <w:t>装卸费、</w:t>
            </w:r>
            <w:r>
              <w:rPr>
                <w:sz w:val="24"/>
              </w:rPr>
              <w:t>保险费</w:t>
            </w:r>
            <w:r>
              <w:rPr>
                <w:rFonts w:hint="eastAsia"/>
                <w:sz w:val="24"/>
              </w:rPr>
              <w:t>、</w:t>
            </w:r>
            <w:r>
              <w:rPr>
                <w:rFonts w:hint="eastAsia"/>
                <w:color w:val="000000" w:themeColor="text1"/>
                <w:sz w:val="24"/>
                <w14:textFill>
                  <w14:solidFill>
                    <w14:schemeClr w14:val="tx1"/>
                  </w14:solidFill>
                </w14:textFill>
              </w:rPr>
              <w:t>安装调试费</w:t>
            </w:r>
            <w:r>
              <w:rPr>
                <w:sz w:val="24"/>
              </w:rPr>
              <w:t>等所有工作的费用。卖方不向买方收取此价格之外的任何费用。对于投标人在投标文件中未填报价格的项目，招标单位在执行期间将不予支付任何款项或费用，并将视此项目的费用已包含在其他项目的价格中。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sz w:val="24"/>
              </w:rPr>
              <w:t>卖方必须向采购方提供全额增值税专用发票(增值税13%)。</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466" w:hanging="29"/>
              <w:rPr>
                <w:rFonts w:ascii="宋体" w:hAnsi="宋体"/>
                <w:szCs w:val="21"/>
              </w:rPr>
            </w:pPr>
            <w:r>
              <w:rPr>
                <w:sz w:val="24"/>
              </w:rPr>
              <w:t>投标有效期：90天</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4</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正本一份、副本贰份、U盘一套</w:t>
            </w:r>
            <w:r>
              <w:rPr>
                <w:rFonts w:hint="eastAsia"/>
                <w:color w:val="000000" w:themeColor="text1"/>
                <w:sz w:val="24"/>
                <w:lang w:eastAsia="zh-CN"/>
                <w14:textFill>
                  <w14:solidFill>
                    <w14:schemeClr w14:val="tx1"/>
                  </w14:solidFill>
                </w14:textFill>
              </w:rPr>
              <w:t>。</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1.投标文件分为三部分：分别是商务文件、技术文件、报价文件。</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2.其中，商务投标文件和技术投标文件不体现价格，价格只在报价文件中体现。报价文件包括不限于：法人授权委托书、投标函、开标一览表、供货产品细化清单、备品备件及易损件清单。</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3.商务投标文件、技术投标文件</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报价文件：各</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份正本，</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份副本；商务投标文件、技术投标文件、报价文件分开装订</w:t>
            </w:r>
            <w:r>
              <w:rPr>
                <w:rFonts w:hint="eastAsia"/>
                <w:color w:val="000000" w:themeColor="text1"/>
                <w:sz w:val="24"/>
                <w:lang w:eastAsia="zh-CN"/>
                <w14:textFill>
                  <w14:solidFill>
                    <w14:schemeClr w14:val="tx1"/>
                  </w14:solidFill>
                </w14:textFill>
              </w:rPr>
              <w:t>，正本与副本有冲突，以正本为准。</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所有</w:t>
            </w:r>
            <w:r>
              <w:rPr>
                <w:rFonts w:hint="eastAsia"/>
                <w:color w:val="000000" w:themeColor="text1"/>
                <w:sz w:val="24"/>
                <w14:textFill>
                  <w14:solidFill>
                    <w14:schemeClr w14:val="tx1"/>
                  </w14:solidFill>
                </w14:textFill>
              </w:rPr>
              <w:t>文件必须加盖公章）</w:t>
            </w:r>
          </w:p>
          <w:p>
            <w:pPr>
              <w:spacing w:line="360" w:lineRule="auto"/>
              <w:ind w:left="29" w:hanging="29"/>
              <w:rPr>
                <w:rFonts w:hint="eastAsia" w:ascii="宋体" w:hAnsi="宋体" w:eastAsia="宋体" w:cs="宋体"/>
                <w:bCs/>
                <w:color w:val="FF0000"/>
                <w:szCs w:val="21"/>
                <w:lang w:val="en-US" w:eastAsia="zh-CN"/>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U盘</w:t>
            </w:r>
            <w:r>
              <w:rPr>
                <w:rFonts w:hint="eastAsia"/>
                <w:color w:val="000000" w:themeColor="text1"/>
                <w:sz w:val="24"/>
                <w14:textFill>
                  <w14:solidFill>
                    <w14:schemeClr w14:val="tx1"/>
                  </w14:solidFill>
                </w14:textFill>
              </w:rPr>
              <w:t>投标文件可以用Word、Excel或PDF格式。如投标文件为PDF格式时，请同时将可编辑版Word或Excel文件上传（商务、技术澄清文件也按此要求执行）</w:t>
            </w:r>
            <w:r>
              <w:rPr>
                <w:rFonts w:hint="eastAsia"/>
                <w:color w:val="000000" w:themeColor="text1"/>
                <w:sz w:val="24"/>
                <w:lang w:eastAsia="zh-CN"/>
                <w14:textFill>
                  <w14:solidFill>
                    <w14:schemeClr w14:val="tx1"/>
                  </w14:solidFill>
                </w14:textFill>
              </w:rPr>
              <w:t>，电子版与纸质版有冲突，以纸质版为准</w:t>
            </w:r>
            <w:r>
              <w:rPr>
                <w:rFonts w:hint="eastAsia"/>
                <w:color w:val="000000" w:themeColor="text1"/>
                <w:sz w:val="24"/>
                <w14:textFill>
                  <w14:solidFill>
                    <w14:schemeClr w14:val="tx1"/>
                  </w14:solidFill>
                </w14:textFill>
              </w:rPr>
              <w:t>。</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5</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57" w:hanging="29"/>
              <w:rPr>
                <w:sz w:val="24"/>
              </w:rPr>
            </w:pPr>
            <w:r>
              <w:rPr>
                <w:sz w:val="24"/>
              </w:rPr>
              <w:t>数量变更：不适用。</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6</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olor w:val="000000" w:themeColor="text1"/>
                <w:szCs w:val="21"/>
                <w14:textFill>
                  <w14:solidFill>
                    <w14:schemeClr w14:val="tx1"/>
                  </w14:solidFill>
                </w14:textFill>
              </w:rPr>
            </w:pPr>
            <w:r>
              <w:rPr>
                <w:color w:val="000000" w:themeColor="text1"/>
                <w:sz w:val="24"/>
                <w14:textFill>
                  <w14:solidFill>
                    <w14:schemeClr w14:val="tx1"/>
                  </w14:solidFill>
                </w14:textFill>
              </w:rPr>
              <w:t>若对本招标文件有疑问，请在2021年</w:t>
            </w:r>
            <w:r>
              <w:rPr>
                <w:rFonts w:hint="eastAsia"/>
                <w:color w:val="000000" w:themeColor="text1"/>
                <w:sz w:val="24"/>
                <w:lang w:val="en-US" w:eastAsia="zh-CN"/>
                <w14:textFill>
                  <w14:solidFill>
                    <w14:schemeClr w14:val="tx1"/>
                  </w14:solidFill>
                </w14:textFill>
              </w:rPr>
              <w:t>10</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10</w:t>
            </w:r>
            <w:r>
              <w:rPr>
                <w:color w:val="000000" w:themeColor="text1"/>
                <w:sz w:val="24"/>
                <w14:textFill>
                  <w14:solidFill>
                    <w14:schemeClr w14:val="tx1"/>
                  </w14:solidFill>
                </w14:textFill>
              </w:rPr>
              <w:t>日17:00时 （北京时间）前以电子邮件的形式提交给</w:t>
            </w:r>
            <w:r>
              <w:rPr>
                <w:rFonts w:hint="eastAsia"/>
                <w:color w:val="000000" w:themeColor="text1"/>
                <w:sz w:val="24"/>
                <w:lang w:eastAsia="zh-CN"/>
                <w14:textFill>
                  <w14:solidFill>
                    <w14:schemeClr w14:val="tx1"/>
                  </w14:solidFill>
                </w14:textFill>
              </w:rPr>
              <w:t>招标人</w:t>
            </w:r>
            <w:r>
              <w:rPr>
                <w:color w:val="000000" w:themeColor="text1"/>
                <w:sz w:val="24"/>
                <w14:textFill>
                  <w14:solidFill>
                    <w14:schemeClr w14:val="tx1"/>
                  </w14:solidFill>
                </w14:textFill>
              </w:rPr>
              <w:t>以书面形式予以答复。</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7</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投标截止时间：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8</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投标文件递交地点：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9</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10</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exact"/>
              <w:ind w:left="-51"/>
              <w:rPr>
                <w:rFonts w:hint="eastAsia"/>
                <w:sz w:val="24"/>
                <w:lang w:eastAsia="zh-CN"/>
              </w:rPr>
            </w:pPr>
            <w:r>
              <w:rPr>
                <w:rFonts w:hint="eastAsia"/>
                <w:sz w:val="24"/>
              </w:rPr>
              <w:t>招标人：</w:t>
            </w:r>
            <w:r>
              <w:rPr>
                <w:rFonts w:hint="eastAsia"/>
                <w:sz w:val="24"/>
                <w:lang w:eastAsia="zh-CN"/>
              </w:rPr>
              <w:t>广州电缆厂有限公司</w:t>
            </w:r>
          </w:p>
          <w:p>
            <w:pPr>
              <w:spacing w:line="360" w:lineRule="exact"/>
              <w:ind w:left="-51"/>
              <w:rPr>
                <w:rFonts w:hint="eastAsia"/>
                <w:sz w:val="24"/>
              </w:rPr>
            </w:pPr>
            <w:r>
              <w:rPr>
                <w:rFonts w:hint="eastAsia"/>
                <w:sz w:val="24"/>
              </w:rPr>
              <w:t>地址：</w:t>
            </w:r>
            <w:r>
              <w:rPr>
                <w:rFonts w:hint="eastAsia"/>
                <w:sz w:val="24"/>
                <w:lang w:val="en-US" w:eastAsia="zh-CN"/>
              </w:rPr>
              <w:t>广州市南沙区榄核镇榄张路51号</w:t>
            </w:r>
          </w:p>
          <w:p>
            <w:pPr>
              <w:spacing w:line="360" w:lineRule="exact"/>
              <w:ind w:left="-51"/>
              <w:rPr>
                <w:rFonts w:hint="eastAsia"/>
                <w:sz w:val="24"/>
                <w:lang w:val="en-US" w:eastAsia="zh-CN"/>
              </w:rPr>
            </w:pPr>
            <w:r>
              <w:rPr>
                <w:rFonts w:hint="eastAsia"/>
                <w:sz w:val="24"/>
                <w:lang w:eastAsia="zh-CN"/>
              </w:rPr>
              <w:t>招标</w:t>
            </w:r>
            <w:r>
              <w:rPr>
                <w:rFonts w:hint="eastAsia"/>
                <w:sz w:val="24"/>
              </w:rPr>
              <w:t>联系人：</w:t>
            </w:r>
            <w:r>
              <w:rPr>
                <w:rFonts w:hint="eastAsia"/>
                <w:sz w:val="24"/>
                <w:lang w:val="en-US" w:eastAsia="zh-CN"/>
              </w:rPr>
              <w:t>黄文敏</w:t>
            </w:r>
            <w:r>
              <w:rPr>
                <w:rFonts w:hint="eastAsia"/>
                <w:sz w:val="24"/>
              </w:rPr>
              <w:t xml:space="preserve">   电话：</w:t>
            </w:r>
            <w:r>
              <w:rPr>
                <w:rFonts w:hint="eastAsia"/>
                <w:sz w:val="24"/>
                <w:lang w:val="en-US" w:eastAsia="zh-CN"/>
              </w:rPr>
              <w:t>15989118997</w:t>
            </w:r>
          </w:p>
          <w:p>
            <w:pPr>
              <w:spacing w:line="360" w:lineRule="exact"/>
              <w:ind w:left="-51"/>
              <w:rPr>
                <w:rFonts w:hint="eastAsia" w:eastAsia="微软雅黑"/>
                <w:lang w:val="en-US" w:eastAsia="zh-CN"/>
              </w:rPr>
            </w:pPr>
            <w:r>
              <w:rPr>
                <w:rFonts w:hint="eastAsia"/>
                <w:sz w:val="24"/>
                <w:lang w:val="en-US" w:eastAsia="zh-CN"/>
              </w:rPr>
              <w:t>技术联系人：许剑宇   电话：13450246981</w:t>
            </w:r>
          </w:p>
        </w:tc>
      </w:tr>
      <w:tr>
        <w:tblPrEx>
          <w:tblLayout w:type="fixed"/>
          <w:tblCellMar>
            <w:top w:w="0" w:type="dxa"/>
            <w:left w:w="10" w:type="dxa"/>
            <w:bottom w:w="0" w:type="dxa"/>
            <w:right w:w="10" w:type="dxa"/>
          </w:tblCellMar>
        </w:tblPrEx>
        <w:trPr>
          <w:trHeight w:val="1889"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b/>
                <w:sz w:val="24"/>
              </w:rPr>
            </w:pPr>
            <w:r>
              <w:rPr>
                <w:rFonts w:hint="eastAsia"/>
                <w:b/>
                <w:sz w:val="24"/>
              </w:rPr>
              <w:t>投标保证金：本项目需要交纳投标保证金</w:t>
            </w:r>
            <w:r>
              <w:rPr>
                <w:rFonts w:hint="eastAsia"/>
                <w:b/>
                <w:sz w:val="24"/>
                <w:lang w:eastAsia="zh-CN"/>
              </w:rPr>
              <w:t>捌</w:t>
            </w:r>
            <w:r>
              <w:rPr>
                <w:rFonts w:hint="eastAsia"/>
                <w:b/>
                <w:sz w:val="24"/>
              </w:rPr>
              <w:t>万元整，投标保证金需在开标截止时间前到账。</w:t>
            </w:r>
          </w:p>
          <w:p>
            <w:pPr>
              <w:spacing w:line="360" w:lineRule="exact"/>
              <w:ind w:left="-51"/>
              <w:rPr>
                <w:sz w:val="24"/>
              </w:rPr>
            </w:pPr>
            <w:r>
              <w:rPr>
                <w:rFonts w:hint="eastAsia"/>
                <w:sz w:val="24"/>
              </w:rPr>
              <w:t>投标保证金形式：电汇或者银行转账</w:t>
            </w:r>
          </w:p>
          <w:p>
            <w:pPr>
              <w:spacing w:line="360" w:lineRule="exact"/>
              <w:ind w:left="-51"/>
              <w:rPr>
                <w:rFonts w:hint="eastAsia"/>
                <w:sz w:val="24"/>
                <w:lang w:val="en-US" w:eastAsia="zh-CN"/>
              </w:rPr>
            </w:pPr>
            <w:r>
              <w:rPr>
                <w:rFonts w:hint="eastAsia"/>
                <w:sz w:val="24"/>
              </w:rPr>
              <w:t>开户名称：</w:t>
            </w:r>
            <w:r>
              <w:rPr>
                <w:rFonts w:hint="eastAsia"/>
                <w:sz w:val="24"/>
                <w:lang w:val="en-US" w:eastAsia="zh-CN"/>
              </w:rPr>
              <w:t>广州电缆厂有限公司</w:t>
            </w:r>
          </w:p>
          <w:p>
            <w:pPr>
              <w:spacing w:line="360" w:lineRule="exact"/>
              <w:ind w:left="-51"/>
              <w:rPr>
                <w:rFonts w:hint="eastAsia" w:ascii="宋体" w:hAnsi="宋体"/>
                <w:sz w:val="24"/>
                <w:highlight w:val="none"/>
              </w:rPr>
            </w:pPr>
            <w:r>
              <w:rPr>
                <w:rFonts w:hint="eastAsia" w:ascii="宋体" w:hAnsi="宋体"/>
                <w:sz w:val="24"/>
                <w:highlight w:val="none"/>
              </w:rPr>
              <w:t>开户行:中信银行广州中国大酒店支行</w:t>
            </w:r>
          </w:p>
          <w:p>
            <w:pPr>
              <w:spacing w:line="360" w:lineRule="exact"/>
              <w:ind w:left="-51"/>
              <w:rPr>
                <w:rFonts w:ascii="宋体" w:hAnsi="宋体"/>
                <w:sz w:val="24"/>
                <w:u w:val="single"/>
              </w:rPr>
            </w:pPr>
            <w:r>
              <w:rPr>
                <w:rFonts w:hint="eastAsia" w:ascii="宋体" w:hAnsi="宋体"/>
                <w:sz w:val="24"/>
                <w:highlight w:val="none"/>
              </w:rPr>
              <w:t>帐号:7443800182600070980</w:t>
            </w:r>
          </w:p>
        </w:tc>
      </w:tr>
      <w:tr>
        <w:tblPrEx>
          <w:tblLayout w:type="fixed"/>
          <w:tblCellMar>
            <w:top w:w="0" w:type="dxa"/>
            <w:left w:w="10" w:type="dxa"/>
            <w:bottom w:w="0" w:type="dxa"/>
            <w:right w:w="10" w:type="dxa"/>
          </w:tblCellMar>
        </w:tblPrEx>
        <w:trPr>
          <w:trHeight w:val="953"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rFonts w:hint="eastAsia" w:eastAsia="宋体"/>
                <w:sz w:val="24"/>
                <w:lang w:eastAsia="zh-CN"/>
              </w:rPr>
            </w:pPr>
            <w:r>
              <w:rPr>
                <w:sz w:val="24"/>
              </w:rPr>
              <w:t>1</w:t>
            </w:r>
            <w:r>
              <w:rPr>
                <w:rFonts w:hint="eastAsia"/>
                <w:sz w:val="24"/>
                <w:lang w:val="en-US" w:eastAsia="zh-CN"/>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履约保证金金额：</w:t>
            </w:r>
            <w:r>
              <w:rPr>
                <w:rFonts w:hint="eastAsia" w:ascii="宋体" w:hAnsi="宋体" w:eastAsia="宋体" w:cs="宋体"/>
                <w:color w:val="000000" w:themeColor="text1"/>
                <w:sz w:val="24"/>
                <w:szCs w:val="24"/>
                <w14:textFill>
                  <w14:solidFill>
                    <w14:schemeClr w14:val="tx1"/>
                  </w14:solidFill>
                </w14:textFill>
              </w:rPr>
              <w:t>预付款超过100万元要求开具与预付款等额的银行履约保函</w:t>
            </w:r>
            <w:r>
              <w:rPr>
                <w:rFonts w:hint="eastAsia" w:ascii="宋体" w:hAnsi="宋体" w:cs="宋体"/>
                <w:color w:val="000000" w:themeColor="text1"/>
                <w:sz w:val="24"/>
                <w:szCs w:val="24"/>
                <w:lang w:eastAsia="zh-CN"/>
                <w14:textFill>
                  <w14:solidFill>
                    <w14:schemeClr w14:val="tx1"/>
                  </w14:solidFill>
                </w14:textFill>
              </w:rPr>
              <w:t>。</w:t>
            </w:r>
          </w:p>
          <w:p>
            <w:pPr>
              <w:spacing w:line="360" w:lineRule="exact"/>
              <w:ind w:left="-51"/>
              <w:rPr>
                <w:rFonts w:hint="eastAsia" w:eastAsia="宋体"/>
                <w:sz w:val="24"/>
                <w:lang w:eastAsia="zh-CN"/>
              </w:rPr>
            </w:pPr>
            <w:r>
              <w:rPr>
                <w:color w:val="000000" w:themeColor="text1"/>
                <w:sz w:val="24"/>
                <w14:textFill>
                  <w14:solidFill>
                    <w14:schemeClr w14:val="tx1"/>
                  </w14:solidFill>
                </w14:textFill>
              </w:rPr>
              <w:t>履约保证金方式：</w:t>
            </w:r>
            <w:r>
              <w:rPr>
                <w:rFonts w:hint="eastAsia"/>
                <w:color w:val="000000" w:themeColor="text1"/>
                <w:sz w:val="24"/>
                <w:lang w:eastAsia="zh-CN"/>
                <w14:textFill>
                  <w14:solidFill>
                    <w14:schemeClr w14:val="tx1"/>
                  </w14:solidFill>
                </w14:textFill>
              </w:rPr>
              <w:t>银行保函。</w:t>
            </w:r>
          </w:p>
        </w:tc>
      </w:tr>
    </w:tbl>
    <w:p>
      <w:pPr>
        <w:pStyle w:val="31"/>
        <w:jc w:val="center"/>
        <w:rPr>
          <w:b/>
          <w:sz w:val="32"/>
        </w:rPr>
      </w:pPr>
    </w:p>
    <w:p>
      <w:pPr>
        <w:rPr>
          <w:b/>
          <w:sz w:val="32"/>
        </w:rPr>
      </w:pPr>
      <w:r>
        <w:rPr>
          <w:b/>
          <w:sz w:val="32"/>
        </w:rPr>
        <w:br w:type="page"/>
      </w:r>
    </w:p>
    <w:p>
      <w:pPr>
        <w:pStyle w:val="31"/>
        <w:jc w:val="center"/>
        <w:rPr>
          <w:b/>
          <w:sz w:val="28"/>
        </w:rPr>
      </w:pPr>
      <w:r>
        <w:rPr>
          <w:b/>
          <w:sz w:val="28"/>
        </w:rPr>
        <w:t>第一章 投标人须知</w:t>
      </w:r>
    </w:p>
    <w:p>
      <w:pPr>
        <w:spacing w:line="460" w:lineRule="exact"/>
        <w:rPr>
          <w:b/>
          <w:bCs/>
          <w:sz w:val="24"/>
        </w:rPr>
      </w:pPr>
      <w:r>
        <w:rPr>
          <w:b/>
          <w:bCs/>
          <w:sz w:val="24"/>
        </w:rPr>
        <w:t>1、适用范围</w:t>
      </w:r>
    </w:p>
    <w:p>
      <w:pPr>
        <w:spacing w:line="460" w:lineRule="exact"/>
        <w:rPr>
          <w:sz w:val="24"/>
        </w:rPr>
      </w:pPr>
      <w:r>
        <w:rPr>
          <w:sz w:val="24"/>
        </w:rPr>
        <w:t>1.1 本招标文件仅适用于本招标文件中所述货物及服务的采购。</w:t>
      </w:r>
    </w:p>
    <w:p>
      <w:pPr>
        <w:spacing w:line="360" w:lineRule="auto"/>
        <w:rPr>
          <w:b/>
          <w:sz w:val="24"/>
        </w:rPr>
      </w:pPr>
      <w:r>
        <w:rPr>
          <w:b/>
          <w:sz w:val="24"/>
        </w:rPr>
        <w:t>2</w:t>
      </w:r>
      <w:r>
        <w:rPr>
          <w:rFonts w:ascii="宋体" w:hAnsi="宋体"/>
          <w:b/>
          <w:sz w:val="24"/>
        </w:rPr>
        <w:t>、合格的投标人</w:t>
      </w:r>
    </w:p>
    <w:p>
      <w:pPr>
        <w:spacing w:line="360" w:lineRule="auto"/>
        <w:rPr>
          <w:rFonts w:ascii="宋体" w:hAnsi="宋体"/>
          <w:b/>
          <w:bCs/>
          <w:sz w:val="24"/>
        </w:rPr>
      </w:pPr>
      <w:r>
        <w:rPr>
          <w:b/>
          <w:sz w:val="24"/>
        </w:rPr>
        <w:t>2.1符合招标公告资格要求，且已登记获取招标文件的投标人。</w:t>
      </w:r>
    </w:p>
    <w:p>
      <w:pPr>
        <w:spacing w:line="460" w:lineRule="exact"/>
        <w:rPr>
          <w:b/>
          <w:bCs/>
          <w:sz w:val="24"/>
        </w:rPr>
      </w:pPr>
      <w:r>
        <w:rPr>
          <w:b/>
          <w:bCs/>
          <w:sz w:val="24"/>
        </w:rPr>
        <w:t>3、定义</w:t>
      </w:r>
    </w:p>
    <w:p>
      <w:pPr>
        <w:spacing w:line="36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sz w:val="24"/>
        </w:rPr>
        <w:t>3.1“招标人”系指提出招标项目的法人或其他</w:t>
      </w:r>
      <w:r>
        <w:rPr>
          <w:rFonts w:hint="eastAsia" w:ascii="宋体" w:hAnsi="宋体"/>
          <w:color w:val="000000" w:themeColor="text1"/>
          <w:sz w:val="24"/>
          <w14:textFill>
            <w14:solidFill>
              <w14:schemeClr w14:val="tx1"/>
            </w14:solidFill>
          </w14:textFill>
        </w:rPr>
        <w:t>组织。招标人名称：</w:t>
      </w:r>
      <w:r>
        <w:rPr>
          <w:rFonts w:hint="eastAsia" w:ascii="宋体" w:hAnsi="宋体" w:cs="宋体"/>
          <w:color w:val="000000" w:themeColor="text1"/>
          <w:sz w:val="24"/>
          <w:lang w:eastAsia="zh-CN"/>
          <w14:textFill>
            <w14:solidFill>
              <w14:schemeClr w14:val="tx1"/>
            </w14:solidFill>
          </w14:textFill>
        </w:rPr>
        <w:t>广州电缆厂有限公司</w:t>
      </w:r>
    </w:p>
    <w:p>
      <w:pPr>
        <w:spacing w:line="360" w:lineRule="auto"/>
        <w:ind w:left="480" w:hanging="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w:t>
      </w:r>
      <w:r>
        <w:rPr>
          <w:rFonts w:hint="eastAsia" w:ascii="宋体" w:hAnsi="宋体"/>
          <w:sz w:val="24"/>
        </w:rPr>
        <w:t>“招标机构”系招标人依规设立专属处理招标事务的机构组织。本文件招标机构：</w:t>
      </w:r>
      <w:r>
        <w:rPr>
          <w:rFonts w:hint="eastAsia" w:ascii="宋体" w:hAnsi="宋体"/>
          <w:sz w:val="24"/>
          <w:lang w:eastAsia="zh-CN"/>
        </w:rPr>
        <w:t>广州电缆厂</w:t>
      </w:r>
      <w:r>
        <w:rPr>
          <w:rFonts w:hint="eastAsia" w:ascii="宋体" w:hAnsi="宋体"/>
          <w:sz w:val="24"/>
          <w:lang w:val="en-US" w:eastAsia="zh-CN"/>
        </w:rPr>
        <w:t>有限公司采购部</w:t>
      </w:r>
      <w:r>
        <w:rPr>
          <w:rFonts w:hint="eastAsia" w:ascii="宋体" w:hAnsi="宋体"/>
          <w:sz w:val="24"/>
        </w:rPr>
        <w:t>。</w:t>
      </w:r>
    </w:p>
    <w:p>
      <w:pPr>
        <w:spacing w:line="360" w:lineRule="auto"/>
        <w:rPr>
          <w:rFonts w:ascii="宋体" w:hAnsi="宋体"/>
          <w:sz w:val="24"/>
        </w:rPr>
      </w:pPr>
      <w:r>
        <w:rPr>
          <w:rFonts w:hint="eastAsia" w:ascii="宋体" w:hAnsi="宋体"/>
          <w:sz w:val="24"/>
        </w:rPr>
        <w:t>3.3“投标人” 是响应招标、参加投标竞争的法人或者其他组织。</w:t>
      </w:r>
    </w:p>
    <w:p>
      <w:pPr>
        <w:spacing w:line="360" w:lineRule="auto"/>
        <w:ind w:left="600" w:hanging="600"/>
        <w:rPr>
          <w:rFonts w:ascii="宋体" w:hAnsi="宋体"/>
          <w:sz w:val="24"/>
        </w:rPr>
      </w:pPr>
      <w:r>
        <w:rPr>
          <w:rFonts w:hint="eastAsia" w:ascii="宋体" w:hAnsi="宋体"/>
          <w:sz w:val="24"/>
        </w:rPr>
        <w:t>3.4“货物”系指卖方按招标文件规定，须向买方提供的一切货物、机械、仪器仪表、备品备件、工具、材料、物资、手册及其它有关技术资料。</w:t>
      </w:r>
    </w:p>
    <w:p>
      <w:pPr>
        <w:spacing w:line="360" w:lineRule="auto"/>
        <w:ind w:left="600" w:hanging="600"/>
        <w:rPr>
          <w:rFonts w:ascii="宋体" w:hAnsi="宋体"/>
          <w:sz w:val="24"/>
        </w:rPr>
      </w:pPr>
      <w:r>
        <w:rPr>
          <w:rFonts w:hint="eastAsia" w:ascii="宋体" w:hAnsi="宋体"/>
          <w:sz w:val="24"/>
        </w:rPr>
        <w:t>3.5“服务”系指招标文件规定卖方须承担的设计、</w:t>
      </w:r>
      <w:r>
        <w:rPr>
          <w:rFonts w:hint="eastAsia" w:ascii="宋体" w:hAnsi="宋体"/>
          <w:sz w:val="24"/>
          <w:lang w:val="en-US" w:eastAsia="zh-CN"/>
        </w:rPr>
        <w:t>装卸、</w:t>
      </w:r>
      <w:r>
        <w:rPr>
          <w:rFonts w:hint="eastAsia" w:ascii="宋体" w:hAnsi="宋体"/>
          <w:sz w:val="24"/>
        </w:rPr>
        <w:t>安装、调试、验收、技术协助、校准、培训、保修以及其他类似的义务。</w:t>
      </w:r>
    </w:p>
    <w:p>
      <w:pPr>
        <w:spacing w:line="360" w:lineRule="auto"/>
        <w:rPr>
          <w:rFonts w:ascii="宋体" w:hAnsi="宋体"/>
          <w:b/>
          <w:sz w:val="24"/>
        </w:rPr>
      </w:pPr>
      <w:r>
        <w:rPr>
          <w:rFonts w:hint="eastAsia" w:ascii="宋体" w:hAnsi="宋体"/>
          <w:b/>
          <w:sz w:val="24"/>
        </w:rPr>
        <w:t>3．资金来源</w:t>
      </w:r>
    </w:p>
    <w:p>
      <w:pPr>
        <w:spacing w:line="360" w:lineRule="auto"/>
        <w:ind w:left="479" w:hanging="120"/>
        <w:rPr>
          <w:rFonts w:ascii="宋体" w:hAnsi="宋体"/>
          <w:sz w:val="24"/>
        </w:rPr>
      </w:pPr>
      <w:r>
        <w:rPr>
          <w:rFonts w:hint="eastAsia" w:ascii="宋体" w:hAnsi="宋体"/>
          <w:sz w:val="24"/>
        </w:rPr>
        <w:t>资金来源为自筹</w:t>
      </w:r>
    </w:p>
    <w:p>
      <w:pPr>
        <w:spacing w:line="360" w:lineRule="auto"/>
        <w:rPr>
          <w:rFonts w:ascii="宋体" w:hAnsi="宋体"/>
          <w:b/>
          <w:sz w:val="24"/>
        </w:rPr>
      </w:pPr>
      <w:r>
        <w:rPr>
          <w:rFonts w:hint="eastAsia" w:ascii="宋体" w:hAnsi="宋体"/>
          <w:b/>
          <w:sz w:val="24"/>
        </w:rPr>
        <w:t>4．合格投标人</w:t>
      </w:r>
    </w:p>
    <w:p>
      <w:pPr>
        <w:spacing w:line="360" w:lineRule="auto"/>
        <w:rPr>
          <w:rFonts w:ascii="宋体" w:hAnsi="宋体"/>
          <w:sz w:val="24"/>
        </w:rPr>
      </w:pPr>
      <w:r>
        <w:rPr>
          <w:rFonts w:hint="eastAsia" w:ascii="宋体" w:hAnsi="宋体"/>
          <w:sz w:val="24"/>
        </w:rPr>
        <w:t>4</w:t>
      </w:r>
      <w:r>
        <w:rPr>
          <w:rFonts w:ascii="宋体" w:hAnsi="宋体"/>
          <w:sz w:val="24"/>
        </w:rPr>
        <w:t xml:space="preserve">.1 </w:t>
      </w:r>
      <w:r>
        <w:rPr>
          <w:rFonts w:hint="eastAsia" w:ascii="宋体" w:hAnsi="宋体"/>
          <w:sz w:val="24"/>
        </w:rPr>
        <w:t>投标人必须符合《中华人民共和国招标投标法》第二十六条之规定。</w:t>
      </w:r>
    </w:p>
    <w:p>
      <w:pPr>
        <w:spacing w:line="360" w:lineRule="auto"/>
        <w:ind w:left="510" w:hanging="510"/>
        <w:rPr>
          <w:rFonts w:ascii="宋体" w:hAnsi="宋体"/>
          <w:sz w:val="24"/>
        </w:rPr>
      </w:pPr>
      <w:r>
        <w:rPr>
          <w:rFonts w:hint="eastAsia" w:ascii="宋体" w:hAnsi="宋体"/>
          <w:sz w:val="24"/>
        </w:rPr>
        <w:t>4.2 符合“投标人须知前附表”中要求的资格标准。</w:t>
      </w:r>
    </w:p>
    <w:p>
      <w:pPr>
        <w:spacing w:line="360" w:lineRule="auto"/>
        <w:ind w:left="510" w:hanging="510"/>
        <w:rPr>
          <w:rFonts w:ascii="宋体" w:hAnsi="宋体"/>
          <w:sz w:val="24"/>
        </w:rPr>
      </w:pPr>
      <w:r>
        <w:rPr>
          <w:rFonts w:hint="eastAsia" w:ascii="宋体" w:hAnsi="宋体"/>
          <w:sz w:val="24"/>
        </w:rPr>
        <w:t>4.3 符合招标文件中要求的其他资格。</w:t>
      </w:r>
    </w:p>
    <w:p>
      <w:pPr>
        <w:spacing w:line="360" w:lineRule="auto"/>
        <w:ind w:left="510" w:hanging="510"/>
        <w:rPr>
          <w:rFonts w:ascii="宋体" w:hAnsi="宋体"/>
          <w:sz w:val="24"/>
        </w:rPr>
      </w:pPr>
      <w:r>
        <w:rPr>
          <w:rFonts w:hint="eastAsia" w:ascii="宋体" w:hAnsi="宋体"/>
          <w:sz w:val="24"/>
        </w:rPr>
        <w:t>4.4 法定代表人为同一个人的两个及两个以上法人，母公司、全资子公司及其控股公司，都不得在本项目招标中同时投标。</w:t>
      </w:r>
    </w:p>
    <w:p>
      <w:pPr>
        <w:spacing w:line="360" w:lineRule="auto"/>
        <w:rPr>
          <w:rFonts w:ascii="宋体" w:hAnsi="宋体"/>
          <w:b/>
          <w:sz w:val="24"/>
        </w:rPr>
      </w:pPr>
      <w:r>
        <w:rPr>
          <w:rFonts w:hint="eastAsia" w:ascii="宋体" w:hAnsi="宋体"/>
          <w:b/>
          <w:sz w:val="24"/>
        </w:rPr>
        <w:t>5．投标费用</w:t>
      </w:r>
    </w:p>
    <w:p>
      <w:pPr>
        <w:spacing w:line="360" w:lineRule="auto"/>
        <w:ind w:left="480" w:hanging="480"/>
        <w:rPr>
          <w:rFonts w:ascii="宋体" w:hAnsi="宋体"/>
          <w:sz w:val="24"/>
        </w:rPr>
      </w:pPr>
      <w:r>
        <w:rPr>
          <w:rFonts w:hint="eastAsia" w:ascii="宋体" w:hAnsi="宋体"/>
          <w:sz w:val="24"/>
        </w:rPr>
        <w:t>5.1不论投标的结果如何，投标人应自行承担所有与准备和参加投标有关的全部费用。招标机构和招标人在任何情况下均无义务和责任承担这些费用。</w:t>
      </w:r>
    </w:p>
    <w:p>
      <w:pPr>
        <w:spacing w:line="360" w:lineRule="auto"/>
        <w:ind w:left="480" w:hanging="480"/>
        <w:rPr>
          <w:rFonts w:ascii="宋体" w:hAnsi="宋体"/>
          <w:sz w:val="24"/>
        </w:rPr>
      </w:pPr>
      <w:r>
        <w:rPr>
          <w:rFonts w:hint="eastAsia" w:ascii="宋体" w:hAnsi="宋体"/>
          <w:sz w:val="24"/>
        </w:rPr>
        <w:t>5.2招标人若取消采购或因其他原因终止招标，招标机构仅退回投标人购买标书的费用和已交纳的投标保证金费用。招标机构不承担责任，不承担投标人为本次投标而发生的任何费用。</w:t>
      </w:r>
    </w:p>
    <w:p>
      <w:pPr>
        <w:spacing w:line="360" w:lineRule="auto"/>
        <w:rPr>
          <w:rFonts w:ascii="宋体" w:hAnsi="宋体"/>
          <w:b/>
          <w:sz w:val="24"/>
        </w:rPr>
      </w:pPr>
      <w:r>
        <w:rPr>
          <w:rFonts w:hint="eastAsia" w:ascii="宋体" w:hAnsi="宋体"/>
          <w:b/>
          <w:sz w:val="24"/>
        </w:rPr>
        <w:t>6．投标人代表</w:t>
      </w:r>
    </w:p>
    <w:p>
      <w:pPr>
        <w:spacing w:line="480" w:lineRule="exact"/>
        <w:ind w:left="525" w:hanging="525"/>
        <w:rPr>
          <w:rFonts w:ascii="宋体" w:hAnsi="宋体"/>
          <w:sz w:val="24"/>
        </w:rPr>
      </w:pPr>
      <w:r>
        <w:rPr>
          <w:rFonts w:hint="eastAsia" w:ascii="宋体" w:hAnsi="宋体"/>
          <w:sz w:val="24"/>
        </w:rPr>
        <w:t>6.1指全权代表投标人参加投标活动并签署投标文件的人。如果投标人代表不是法定代表人，须持有《法定代表人授权书》（格式详见附件）。</w:t>
      </w:r>
    </w:p>
    <w:p>
      <w:pPr>
        <w:pStyle w:val="31"/>
        <w:jc w:val="center"/>
        <w:rPr>
          <w:b/>
          <w:sz w:val="28"/>
        </w:rPr>
      </w:pPr>
      <w:bookmarkStart w:id="47" w:name="_Toc42003702"/>
      <w:bookmarkEnd w:id="47"/>
      <w:bookmarkStart w:id="48" w:name="_Toc508032749"/>
      <w:bookmarkEnd w:id="48"/>
      <w:r>
        <w:rPr>
          <w:b/>
          <w:sz w:val="28"/>
        </w:rPr>
        <w:t>第二章 招标文件</w:t>
      </w:r>
    </w:p>
    <w:p>
      <w:pPr>
        <w:spacing w:line="360" w:lineRule="auto"/>
        <w:rPr>
          <w:b/>
          <w:sz w:val="24"/>
        </w:rPr>
      </w:pPr>
      <w:r>
        <w:rPr>
          <w:b/>
          <w:sz w:val="24"/>
        </w:rPr>
        <w:t>7</w:t>
      </w:r>
      <w:r>
        <w:rPr>
          <w:rFonts w:ascii="宋体" w:hAnsi="宋体"/>
          <w:b/>
          <w:sz w:val="24"/>
        </w:rPr>
        <w:t>、招标文件的组成</w:t>
      </w:r>
    </w:p>
    <w:p>
      <w:pPr>
        <w:spacing w:line="360" w:lineRule="auto"/>
        <w:ind w:firstLine="480"/>
        <w:rPr>
          <w:rFonts w:ascii="宋体" w:hAnsi="宋体"/>
          <w:sz w:val="24"/>
        </w:rPr>
      </w:pPr>
      <w:r>
        <w:rPr>
          <w:sz w:val="24"/>
        </w:rPr>
        <w:t xml:space="preserve">7.1 </w:t>
      </w:r>
      <w:r>
        <w:rPr>
          <w:rFonts w:ascii="宋体" w:hAnsi="宋体"/>
          <w:sz w:val="24"/>
        </w:rPr>
        <w:t>招标文件用以阐明所需货物</w:t>
      </w:r>
      <w:r>
        <w:rPr>
          <w:rFonts w:hint="eastAsia" w:ascii="宋体" w:hAnsi="宋体"/>
          <w:sz w:val="24"/>
        </w:rPr>
        <w:t>（或材料）</w:t>
      </w:r>
      <w:r>
        <w:rPr>
          <w:rFonts w:ascii="宋体" w:hAnsi="宋体"/>
          <w:sz w:val="24"/>
        </w:rPr>
        <w:t>和服务、招标程序和合同条款。内容如下：</w:t>
      </w:r>
    </w:p>
    <w:p>
      <w:pPr>
        <w:spacing w:line="360" w:lineRule="auto"/>
        <w:ind w:firstLine="480"/>
        <w:rPr>
          <w:rFonts w:ascii="宋体" w:hAnsi="宋体"/>
          <w:sz w:val="24"/>
        </w:rPr>
      </w:pPr>
      <w:r>
        <w:rPr>
          <w:rFonts w:hint="eastAsia" w:ascii="宋体" w:hAnsi="宋体"/>
          <w:sz w:val="24"/>
        </w:rPr>
        <w:t>第一部分  招标公告</w:t>
      </w:r>
    </w:p>
    <w:p>
      <w:pPr>
        <w:spacing w:line="360" w:lineRule="auto"/>
        <w:ind w:firstLine="480"/>
        <w:rPr>
          <w:rFonts w:ascii="宋体" w:hAnsi="宋体"/>
          <w:sz w:val="24"/>
        </w:rPr>
      </w:pPr>
      <w:r>
        <w:rPr>
          <w:rFonts w:hint="eastAsia" w:ascii="宋体" w:hAnsi="宋体"/>
          <w:sz w:val="24"/>
        </w:rPr>
        <w:t xml:space="preserve">第二部分 </w:t>
      </w:r>
      <w:r>
        <w:rPr>
          <w:rFonts w:ascii="宋体" w:hAnsi="宋体"/>
          <w:sz w:val="24"/>
        </w:rPr>
        <w:t xml:space="preserve"> 投标人须知</w:t>
      </w:r>
    </w:p>
    <w:p>
      <w:pPr>
        <w:spacing w:line="360" w:lineRule="auto"/>
        <w:ind w:firstLine="480"/>
        <w:rPr>
          <w:rFonts w:ascii="宋体" w:hAnsi="宋体"/>
          <w:sz w:val="24"/>
        </w:rPr>
      </w:pPr>
      <w:r>
        <w:rPr>
          <w:rFonts w:hint="eastAsia" w:ascii="宋体" w:hAnsi="宋体"/>
          <w:sz w:val="24"/>
        </w:rPr>
        <w:t xml:space="preserve">第三部分 </w:t>
      </w:r>
      <w:r>
        <w:rPr>
          <w:rFonts w:ascii="宋体" w:hAnsi="宋体"/>
          <w:sz w:val="24"/>
        </w:rPr>
        <w:t xml:space="preserve"> 技术文件</w:t>
      </w:r>
    </w:p>
    <w:p>
      <w:pPr>
        <w:spacing w:line="360" w:lineRule="auto"/>
        <w:ind w:firstLine="480"/>
        <w:rPr>
          <w:rFonts w:ascii="宋体" w:hAnsi="宋体"/>
          <w:sz w:val="24"/>
        </w:rPr>
      </w:pPr>
      <w:r>
        <w:rPr>
          <w:rFonts w:hint="eastAsia" w:ascii="宋体" w:hAnsi="宋体"/>
          <w:sz w:val="24"/>
        </w:rPr>
        <w:t xml:space="preserve">第四部分 </w:t>
      </w:r>
      <w:r>
        <w:rPr>
          <w:rFonts w:ascii="宋体" w:hAnsi="宋体"/>
          <w:sz w:val="24"/>
        </w:rPr>
        <w:t xml:space="preserve"> 合同基本条款</w:t>
      </w:r>
    </w:p>
    <w:p>
      <w:pPr>
        <w:spacing w:line="360" w:lineRule="auto"/>
        <w:ind w:firstLine="480"/>
        <w:rPr>
          <w:rFonts w:ascii="宋体" w:hAnsi="宋体"/>
          <w:sz w:val="24"/>
        </w:rPr>
      </w:pPr>
      <w:r>
        <w:rPr>
          <w:rFonts w:hint="eastAsia" w:ascii="宋体" w:hAnsi="宋体"/>
          <w:sz w:val="24"/>
        </w:rPr>
        <w:t xml:space="preserve">第五部分 </w:t>
      </w:r>
      <w:r>
        <w:rPr>
          <w:rFonts w:ascii="宋体" w:hAnsi="宋体"/>
          <w:sz w:val="24"/>
        </w:rPr>
        <w:t xml:space="preserve"> </w:t>
      </w:r>
      <w:r>
        <w:rPr>
          <w:rFonts w:hint="eastAsia" w:ascii="宋体" w:hAnsi="宋体"/>
          <w:sz w:val="24"/>
        </w:rPr>
        <w:t>投标文件格式</w:t>
      </w:r>
    </w:p>
    <w:p>
      <w:pPr>
        <w:spacing w:line="360" w:lineRule="auto"/>
        <w:ind w:firstLine="480"/>
        <w:rPr>
          <w:sz w:val="24"/>
        </w:rPr>
      </w:pPr>
      <w:r>
        <w:rPr>
          <w:rFonts w:hint="eastAsia" w:ascii="宋体" w:hAnsi="宋体"/>
          <w:sz w:val="24"/>
        </w:rPr>
        <w:t>第六部分</w:t>
      </w:r>
      <w:r>
        <w:rPr>
          <w:rFonts w:ascii="宋体" w:hAnsi="宋体"/>
          <w:sz w:val="24"/>
        </w:rPr>
        <w:t xml:space="preserve">  评标</w:t>
      </w:r>
      <w:r>
        <w:rPr>
          <w:rFonts w:hint="eastAsia" w:ascii="宋体" w:hAnsi="宋体"/>
          <w:sz w:val="24"/>
        </w:rPr>
        <w:t>标准</w:t>
      </w:r>
    </w:p>
    <w:p>
      <w:pPr>
        <w:spacing w:line="360" w:lineRule="auto"/>
        <w:rPr>
          <w:b/>
          <w:sz w:val="24"/>
        </w:rPr>
      </w:pPr>
      <w:r>
        <w:rPr>
          <w:b/>
          <w:sz w:val="24"/>
        </w:rPr>
        <w:t>8</w:t>
      </w:r>
      <w:r>
        <w:rPr>
          <w:rFonts w:ascii="宋体" w:hAnsi="宋体"/>
          <w:b/>
          <w:sz w:val="24"/>
        </w:rPr>
        <w:t>、招标文件的澄清</w:t>
      </w:r>
    </w:p>
    <w:p>
      <w:pPr>
        <w:spacing w:line="360" w:lineRule="auto"/>
        <w:ind w:firstLine="480"/>
        <w:rPr>
          <w:rFonts w:ascii="宋体" w:hAnsi="宋体"/>
          <w:sz w:val="24"/>
        </w:rPr>
      </w:pPr>
      <w:r>
        <w:rPr>
          <w:sz w:val="24"/>
        </w:rPr>
        <w:t>8.1</w:t>
      </w:r>
      <w:r>
        <w:rPr>
          <w:rFonts w:ascii="宋体" w:hAnsi="宋体"/>
          <w:sz w:val="24"/>
        </w:rPr>
        <w:t>任何要求对招标文件提出澄清的投标人，应</w:t>
      </w:r>
      <w:r>
        <w:rPr>
          <w:rFonts w:hint="eastAsia" w:ascii="宋体" w:hAnsi="宋体"/>
          <w:sz w:val="24"/>
        </w:rPr>
        <w:t>按前附表的时间</w:t>
      </w:r>
      <w:r>
        <w:rPr>
          <w:rFonts w:ascii="宋体" w:hAnsi="宋体"/>
          <w:sz w:val="24"/>
        </w:rPr>
        <w:t>以书面形式（包括信函或传真，下同）送达到招标单位，招标单位将以书面形式予以答复，同时将把不标明查询来源的书面答复送达已购买招标文件的每一投标人。</w:t>
      </w:r>
    </w:p>
    <w:p>
      <w:pPr>
        <w:spacing w:line="360" w:lineRule="auto"/>
        <w:rPr>
          <w:b/>
          <w:sz w:val="24"/>
        </w:rPr>
      </w:pPr>
      <w:r>
        <w:rPr>
          <w:b/>
          <w:sz w:val="24"/>
        </w:rPr>
        <w:t>9</w:t>
      </w:r>
      <w:r>
        <w:rPr>
          <w:rFonts w:ascii="宋体" w:hAnsi="宋体"/>
          <w:b/>
          <w:sz w:val="24"/>
        </w:rPr>
        <w:t>、招标文件的补充和修改</w:t>
      </w:r>
    </w:p>
    <w:p>
      <w:pPr>
        <w:spacing w:line="360" w:lineRule="auto"/>
        <w:ind w:firstLine="570"/>
        <w:rPr>
          <w:sz w:val="24"/>
        </w:rPr>
      </w:pPr>
      <w:r>
        <w:rPr>
          <w:sz w:val="24"/>
        </w:rPr>
        <w:t>9.1</w:t>
      </w:r>
      <w:r>
        <w:rPr>
          <w:rFonts w:ascii="宋体" w:hAnsi="宋体"/>
          <w:sz w:val="24"/>
        </w:rPr>
        <w:t>在投标截止时间前，招标单位可补充或修改招标文件，并以书面形式通知所有购买招标文件的投标人；对方应立即以传真的形式通知招标单位，确认已收到该通知；补充和修改通知是招标文件的组成部分。</w:t>
      </w:r>
    </w:p>
    <w:p>
      <w:pPr>
        <w:spacing w:line="360" w:lineRule="auto"/>
        <w:ind w:firstLine="570"/>
        <w:rPr>
          <w:sz w:val="24"/>
        </w:rPr>
      </w:pPr>
      <w:r>
        <w:rPr>
          <w:sz w:val="24"/>
        </w:rPr>
        <w:t>9.2</w:t>
      </w:r>
      <w:r>
        <w:rPr>
          <w:rFonts w:ascii="宋体" w:hAnsi="宋体"/>
          <w:sz w:val="24"/>
        </w:rPr>
        <w:t>为使投标人在准备投标文件时有合理的时间考虑</w:t>
      </w:r>
      <w:r>
        <w:rPr>
          <w:rFonts w:hint="eastAsia" w:ascii="宋体" w:hAnsi="宋体"/>
          <w:sz w:val="24"/>
        </w:rPr>
        <w:t>招标文件</w:t>
      </w:r>
      <w:r>
        <w:rPr>
          <w:rFonts w:ascii="宋体" w:hAnsi="宋体"/>
          <w:sz w:val="24"/>
        </w:rPr>
        <w:t>的补充和修改，招标单位可酌情推迟投标截止日期和开标日期，并将此变更通知每一投标人。因此，业已规定的招标单位和投标人的一切权利和义务将按延期后的投标截止日期履行。</w:t>
      </w:r>
    </w:p>
    <w:p>
      <w:pPr>
        <w:pStyle w:val="31"/>
        <w:jc w:val="center"/>
        <w:rPr>
          <w:rFonts w:ascii="Times New Roman" w:hAnsi="Times New Roman" w:cs="Times New Roman"/>
          <w:b/>
          <w:sz w:val="28"/>
        </w:rPr>
      </w:pPr>
      <w:bookmarkStart w:id="49" w:name="_Toc508032750"/>
      <w:bookmarkEnd w:id="49"/>
      <w:bookmarkStart w:id="50" w:name="_Toc42003703"/>
      <w:bookmarkEnd w:id="50"/>
      <w:r>
        <w:rPr>
          <w:rFonts w:ascii="Times New Roman" w:hAnsi="Times New Roman" w:cs="Times New Roman"/>
          <w:b/>
          <w:sz w:val="28"/>
        </w:rPr>
        <w:t>第三章 投标文件的编写</w:t>
      </w:r>
    </w:p>
    <w:p>
      <w:pPr>
        <w:spacing w:line="360" w:lineRule="auto"/>
        <w:rPr>
          <w:b/>
          <w:sz w:val="24"/>
        </w:rPr>
      </w:pPr>
      <w:r>
        <w:rPr>
          <w:b/>
          <w:sz w:val="24"/>
        </w:rPr>
        <w:t>10</w:t>
      </w:r>
      <w:r>
        <w:rPr>
          <w:rFonts w:ascii="宋体" w:hAnsi="宋体"/>
          <w:b/>
          <w:sz w:val="24"/>
        </w:rPr>
        <w:t>、投标文件的语言及计量单位</w:t>
      </w:r>
    </w:p>
    <w:p>
      <w:pPr>
        <w:spacing w:line="360" w:lineRule="auto"/>
        <w:ind w:firstLine="570"/>
        <w:rPr>
          <w:sz w:val="24"/>
        </w:rPr>
      </w:pPr>
      <w:r>
        <w:rPr>
          <w:sz w:val="24"/>
        </w:rPr>
        <w:t>10.1</w:t>
      </w:r>
      <w:r>
        <w:rPr>
          <w:rFonts w:ascii="宋体" w:hAnsi="宋体"/>
          <w:sz w:val="24"/>
        </w:rPr>
        <w:t>投标文件以及投标人与招标机构就有关投标的往来函电均应以简体中文书写。投标人提交的支持资料和已印刷的文献可以用另一种语言，但相应内容应附有中文的翻译本，在解释投标文件时以翻译本为准。</w:t>
      </w:r>
    </w:p>
    <w:p>
      <w:pPr>
        <w:spacing w:line="360" w:lineRule="auto"/>
        <w:ind w:firstLine="570"/>
        <w:rPr>
          <w:sz w:val="24"/>
        </w:rPr>
      </w:pPr>
      <w:r>
        <w:rPr>
          <w:sz w:val="24"/>
        </w:rPr>
        <w:t>10.2</w:t>
      </w:r>
      <w:r>
        <w:rPr>
          <w:rFonts w:ascii="宋体" w:hAnsi="宋体"/>
          <w:sz w:val="24"/>
        </w:rPr>
        <w:t>除在技术规范中另有规定外，所有计量单位应使用中华人民共和国法定计量单位。</w:t>
      </w:r>
    </w:p>
    <w:p>
      <w:pPr>
        <w:spacing w:line="360" w:lineRule="auto"/>
        <w:ind w:left="480"/>
        <w:rPr>
          <w:rFonts w:ascii="宋体" w:hAnsi="宋体"/>
          <w:sz w:val="24"/>
        </w:rPr>
      </w:pPr>
      <w:r>
        <w:rPr>
          <w:b/>
          <w:sz w:val="24"/>
        </w:rPr>
        <w:t>11</w:t>
      </w:r>
      <w:r>
        <w:rPr>
          <w:rFonts w:ascii="宋体" w:hAnsi="宋体"/>
          <w:b/>
          <w:sz w:val="24"/>
        </w:rPr>
        <w:t>、投标文件的组成</w:t>
      </w:r>
    </w:p>
    <w:p>
      <w:pPr>
        <w:spacing w:line="360" w:lineRule="auto"/>
        <w:ind w:left="480"/>
        <w:rPr>
          <w:rFonts w:ascii="宋体" w:hAnsi="宋体"/>
          <w:sz w:val="24"/>
        </w:rPr>
      </w:pPr>
      <w:r>
        <w:rPr>
          <w:rFonts w:ascii="宋体" w:hAnsi="宋体"/>
          <w:sz w:val="24"/>
        </w:rPr>
        <w:t>投标文件由</w:t>
      </w:r>
      <w:r>
        <w:rPr>
          <w:rFonts w:hint="eastAsia" w:ascii="宋体" w:hAnsi="宋体"/>
          <w:sz w:val="24"/>
          <w:lang w:eastAsia="zh-CN"/>
        </w:rPr>
        <w:t>三</w:t>
      </w:r>
      <w:r>
        <w:rPr>
          <w:rFonts w:ascii="宋体" w:hAnsi="宋体"/>
          <w:sz w:val="24"/>
        </w:rPr>
        <w:t>部分组成：</w:t>
      </w:r>
      <w:r>
        <w:rPr>
          <w:rFonts w:ascii="宋体" w:hAnsi="宋体"/>
          <w:color w:val="FF0000"/>
          <w:sz w:val="24"/>
        </w:rPr>
        <w:t>技术</w:t>
      </w:r>
      <w:r>
        <w:rPr>
          <w:rFonts w:ascii="宋体" w:hAnsi="宋体"/>
          <w:sz w:val="24"/>
        </w:rPr>
        <w:t>部分</w:t>
      </w:r>
      <w:r>
        <w:rPr>
          <w:rFonts w:hint="eastAsia" w:ascii="宋体" w:hAnsi="宋体"/>
          <w:color w:val="FF0000"/>
          <w:sz w:val="24"/>
        </w:rPr>
        <w:t>、</w:t>
      </w:r>
      <w:r>
        <w:rPr>
          <w:rFonts w:ascii="宋体" w:hAnsi="宋体"/>
          <w:color w:val="FF0000"/>
          <w:sz w:val="24"/>
        </w:rPr>
        <w:t>商务</w:t>
      </w:r>
      <w:r>
        <w:rPr>
          <w:rFonts w:ascii="宋体" w:hAnsi="宋体"/>
          <w:sz w:val="24"/>
        </w:rPr>
        <w:t>部分</w:t>
      </w:r>
      <w:r>
        <w:rPr>
          <w:rFonts w:hint="eastAsia" w:ascii="宋体" w:hAnsi="宋体"/>
          <w:color w:val="FF0000"/>
          <w:sz w:val="24"/>
        </w:rPr>
        <w:t>、报价</w:t>
      </w:r>
      <w:r>
        <w:rPr>
          <w:rFonts w:ascii="宋体" w:hAnsi="宋体"/>
          <w:sz w:val="24"/>
        </w:rPr>
        <w:t>部分</w:t>
      </w:r>
      <w:r>
        <w:rPr>
          <w:rFonts w:hint="eastAsia" w:ascii="宋体" w:hAnsi="宋体"/>
          <w:sz w:val="24"/>
          <w:lang w:eastAsia="zh-CN"/>
        </w:rPr>
        <w:t>，分别为</w:t>
      </w:r>
      <w:r>
        <w:rPr>
          <w:rFonts w:hint="eastAsia" w:ascii="宋体" w:hAnsi="宋体"/>
          <w:sz w:val="24"/>
        </w:rPr>
        <w:t>纸质版投标文件</w:t>
      </w:r>
      <w:r>
        <w:rPr>
          <w:rFonts w:hint="eastAsia" w:ascii="宋体" w:hAnsi="宋体"/>
          <w:sz w:val="24"/>
          <w:lang w:eastAsia="zh-CN"/>
        </w:rPr>
        <w:t>和</w:t>
      </w:r>
      <w:r>
        <w:rPr>
          <w:rFonts w:hint="eastAsia" w:ascii="宋体" w:hAnsi="宋体"/>
          <w:sz w:val="24"/>
        </w:rPr>
        <w:t>电子版投标文件（</w:t>
      </w:r>
      <w:r>
        <w:rPr>
          <w:rFonts w:ascii="宋体" w:hAnsi="宋体"/>
          <w:sz w:val="24"/>
        </w:rPr>
        <w:t>1套U盘）。</w:t>
      </w:r>
    </w:p>
    <w:p>
      <w:pPr>
        <w:spacing w:line="360" w:lineRule="auto"/>
        <w:ind w:firstLine="482"/>
        <w:rPr>
          <w:b/>
          <w:bCs/>
          <w:sz w:val="24"/>
        </w:rPr>
      </w:pPr>
      <w:r>
        <w:rPr>
          <w:b/>
          <w:bCs/>
          <w:sz w:val="24"/>
        </w:rPr>
        <w:t>11.1</w:t>
      </w:r>
      <w:r>
        <w:rPr>
          <w:rFonts w:ascii="宋体" w:hAnsi="宋体"/>
          <w:b/>
          <w:bCs/>
          <w:sz w:val="24"/>
        </w:rPr>
        <w:t>投标文件技术部分包括内容：</w:t>
      </w:r>
    </w:p>
    <w:p>
      <w:pPr>
        <w:spacing w:line="360" w:lineRule="auto"/>
        <w:ind w:firstLine="480"/>
        <w:rPr>
          <w:sz w:val="24"/>
        </w:rPr>
      </w:pPr>
      <w:r>
        <w:rPr>
          <w:sz w:val="24"/>
        </w:rPr>
        <w:t xml:space="preserve">11.1.1 </w:t>
      </w:r>
      <w:r>
        <w:rPr>
          <w:rFonts w:ascii="宋体" w:hAnsi="宋体"/>
          <w:sz w:val="24"/>
        </w:rPr>
        <w:t>技术方案</w:t>
      </w:r>
      <w:r>
        <w:rPr>
          <w:rFonts w:hint="eastAsia" w:ascii="宋体" w:hAnsi="宋体"/>
          <w:sz w:val="24"/>
        </w:rPr>
        <w:t>。</w:t>
      </w:r>
    </w:p>
    <w:p>
      <w:pPr>
        <w:spacing w:line="360" w:lineRule="auto"/>
        <w:ind w:firstLine="480"/>
        <w:rPr>
          <w:sz w:val="24"/>
        </w:rPr>
      </w:pPr>
      <w:r>
        <w:rPr>
          <w:sz w:val="24"/>
        </w:rPr>
        <w:t>11.1.2 技术规范偏离说明</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1.3</w:t>
      </w:r>
      <w:r>
        <w:rPr>
          <w:sz w:val="24"/>
        </w:rPr>
        <w:t xml:space="preserve"> 投标人承诺函</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w:t>
      </w:r>
      <w:r>
        <w:rPr>
          <w:sz w:val="24"/>
        </w:rPr>
        <w:t>.</w:t>
      </w:r>
      <w:r>
        <w:rPr>
          <w:rFonts w:hint="eastAsia"/>
          <w:sz w:val="24"/>
        </w:rPr>
        <w:t>4</w:t>
      </w:r>
      <w:r>
        <w:rPr>
          <w:sz w:val="24"/>
        </w:rPr>
        <w:t>投标人关于资格的声明函</w:t>
      </w:r>
      <w:r>
        <w:rPr>
          <w:rFonts w:hint="eastAsia"/>
          <w:sz w:val="24"/>
        </w:rPr>
        <w:t>。</w:t>
      </w:r>
    </w:p>
    <w:p>
      <w:pPr>
        <w:spacing w:line="360" w:lineRule="auto"/>
        <w:ind w:firstLine="480"/>
        <w:rPr>
          <w:sz w:val="24"/>
        </w:rPr>
      </w:pPr>
      <w:r>
        <w:rPr>
          <w:rFonts w:hint="eastAsia"/>
          <w:sz w:val="24"/>
        </w:rPr>
        <w:t>11</w:t>
      </w:r>
      <w:r>
        <w:rPr>
          <w:sz w:val="24"/>
        </w:rPr>
        <w:t>.1.</w:t>
      </w:r>
      <w:r>
        <w:rPr>
          <w:rFonts w:hint="eastAsia"/>
          <w:sz w:val="24"/>
          <w:lang w:val="en-US" w:eastAsia="zh-CN"/>
        </w:rPr>
        <w:t>5</w:t>
      </w:r>
      <w:r>
        <w:rPr>
          <w:sz w:val="24"/>
        </w:rPr>
        <w:t>现场服务计划表</w:t>
      </w:r>
      <w:r>
        <w:rPr>
          <w:rFonts w:hint="eastAsia"/>
          <w:sz w:val="24"/>
        </w:rPr>
        <w:t>。</w:t>
      </w:r>
    </w:p>
    <w:p>
      <w:pPr>
        <w:spacing w:line="360" w:lineRule="auto"/>
        <w:ind w:firstLine="480"/>
        <w:rPr>
          <w:sz w:val="24"/>
          <w:highlight w:val="none"/>
        </w:rPr>
      </w:pPr>
      <w:r>
        <w:rPr>
          <w:rFonts w:hint="eastAsia"/>
          <w:sz w:val="24"/>
          <w:highlight w:val="none"/>
        </w:rPr>
        <w:t>11</w:t>
      </w:r>
      <w:r>
        <w:rPr>
          <w:sz w:val="24"/>
          <w:highlight w:val="none"/>
        </w:rPr>
        <w:t>.1.</w:t>
      </w:r>
      <w:r>
        <w:rPr>
          <w:rFonts w:hint="eastAsia"/>
          <w:sz w:val="24"/>
          <w:highlight w:val="none"/>
          <w:lang w:val="en-US" w:eastAsia="zh-CN"/>
        </w:rPr>
        <w:t>6</w:t>
      </w:r>
      <w:r>
        <w:rPr>
          <w:sz w:val="24"/>
          <w:highlight w:val="none"/>
        </w:rPr>
        <w:t>投标方提供的</w:t>
      </w:r>
      <w:r>
        <w:rPr>
          <w:rFonts w:hint="eastAsia"/>
          <w:sz w:val="24"/>
          <w:highlight w:val="none"/>
        </w:rPr>
        <w:t>指导</w:t>
      </w:r>
      <w:r>
        <w:rPr>
          <w:sz w:val="24"/>
          <w:highlight w:val="none"/>
        </w:rPr>
        <w:t>安装、</w:t>
      </w:r>
      <w:r>
        <w:rPr>
          <w:rFonts w:hint="eastAsia"/>
          <w:sz w:val="24"/>
          <w:highlight w:val="none"/>
        </w:rPr>
        <w:t>协助</w:t>
      </w:r>
      <w:r>
        <w:rPr>
          <w:sz w:val="24"/>
          <w:highlight w:val="none"/>
        </w:rPr>
        <w:t>调试重要工序表</w:t>
      </w:r>
      <w:r>
        <w:rPr>
          <w:rFonts w:hint="eastAsia"/>
          <w:sz w:val="24"/>
          <w:highlight w:val="none"/>
        </w:rPr>
        <w:t>。</w:t>
      </w:r>
    </w:p>
    <w:p>
      <w:pPr>
        <w:tabs>
          <w:tab w:val="left" w:pos="720"/>
          <w:tab w:val="left" w:pos="1980"/>
        </w:tabs>
        <w:spacing w:line="360" w:lineRule="auto"/>
        <w:ind w:firstLine="482"/>
        <w:rPr>
          <w:b/>
          <w:bCs/>
          <w:u w:val="single"/>
        </w:rPr>
      </w:pPr>
      <w:r>
        <w:rPr>
          <w:b/>
          <w:bCs/>
        </w:rPr>
        <w:t>注：以上复印件均需加盖投标人公章。</w:t>
      </w:r>
    </w:p>
    <w:p>
      <w:pPr>
        <w:spacing w:line="360" w:lineRule="auto"/>
        <w:ind w:firstLine="480"/>
        <w:rPr>
          <w:rFonts w:ascii="宋体" w:hAnsi="宋体"/>
          <w:sz w:val="24"/>
        </w:rPr>
      </w:pPr>
      <w:r>
        <w:rPr>
          <w:sz w:val="24"/>
        </w:rPr>
        <w:t>“</w:t>
      </w:r>
      <w:r>
        <w:rPr>
          <w:rFonts w:ascii="宋体" w:hAnsi="宋体"/>
          <w:sz w:val="24"/>
        </w:rPr>
        <w:t>偏离表</w:t>
      </w:r>
      <w:r>
        <w:rPr>
          <w:sz w:val="24"/>
        </w:rPr>
        <w:t>”</w:t>
      </w:r>
      <w:r>
        <w:rPr>
          <w:rFonts w:ascii="宋体" w:hAnsi="宋体"/>
          <w:sz w:val="24"/>
        </w:rPr>
        <w:t>是为方便对投标文件的评审，投标人将任何不同于</w:t>
      </w:r>
      <w:r>
        <w:rPr>
          <w:rFonts w:hint="eastAsia" w:ascii="宋体" w:hAnsi="宋体"/>
          <w:sz w:val="24"/>
        </w:rPr>
        <w:t>招标文件</w:t>
      </w:r>
      <w:r>
        <w:rPr>
          <w:rFonts w:ascii="宋体" w:hAnsi="宋体"/>
          <w:sz w:val="24"/>
        </w:rPr>
        <w:t>的技术规范和商务条件列于项目</w:t>
      </w:r>
      <w:r>
        <w:rPr>
          <w:sz w:val="24"/>
        </w:rPr>
        <w:t>“</w:t>
      </w:r>
      <w:r>
        <w:rPr>
          <w:rFonts w:ascii="宋体" w:hAnsi="宋体"/>
          <w:sz w:val="24"/>
        </w:rPr>
        <w:t>偏离表</w:t>
      </w:r>
      <w:r>
        <w:rPr>
          <w:sz w:val="24"/>
        </w:rPr>
        <w:t>”</w:t>
      </w:r>
      <w:r>
        <w:rPr>
          <w:rFonts w:ascii="宋体" w:hAnsi="宋体"/>
          <w:sz w:val="24"/>
        </w:rPr>
        <w:t>中，并能将由其偏差所引起的价格变化分别作出量化的书面说明。</w:t>
      </w:r>
    </w:p>
    <w:p>
      <w:pPr>
        <w:spacing w:line="360" w:lineRule="auto"/>
        <w:ind w:firstLine="480"/>
        <w:rPr>
          <w:sz w:val="24"/>
        </w:rPr>
      </w:pPr>
      <w:r>
        <w:rPr>
          <w:rFonts w:ascii="宋体" w:hAnsi="宋体"/>
          <w:sz w:val="24"/>
        </w:rPr>
        <w:t>投标文件技术部分中，投标人</w:t>
      </w:r>
      <w:r>
        <w:rPr>
          <w:rFonts w:hint="eastAsia" w:ascii="宋体" w:hAnsi="宋体"/>
          <w:sz w:val="24"/>
        </w:rPr>
        <w:t>应</w:t>
      </w:r>
      <w:r>
        <w:rPr>
          <w:rFonts w:ascii="宋体" w:hAnsi="宋体"/>
          <w:sz w:val="24"/>
        </w:rPr>
        <w:t>对货物和服务的主要项目详细说明，并给出每一项目建议的制造商和</w:t>
      </w:r>
      <w:r>
        <w:rPr>
          <w:sz w:val="24"/>
        </w:rPr>
        <w:t>/</w:t>
      </w:r>
      <w:r>
        <w:rPr>
          <w:rFonts w:ascii="宋体" w:hAnsi="宋体"/>
          <w:sz w:val="24"/>
        </w:rPr>
        <w:t>或供应商。招标单位保留拒绝实质性不响应本</w:t>
      </w:r>
      <w:r>
        <w:rPr>
          <w:rFonts w:hint="eastAsia" w:ascii="宋体" w:hAnsi="宋体"/>
          <w:sz w:val="24"/>
        </w:rPr>
        <w:t>招标文件</w:t>
      </w:r>
      <w:r>
        <w:rPr>
          <w:rFonts w:ascii="宋体" w:hAnsi="宋体"/>
          <w:sz w:val="24"/>
        </w:rPr>
        <w:t>要求的制造商和</w:t>
      </w:r>
      <w:r>
        <w:rPr>
          <w:sz w:val="24"/>
        </w:rPr>
        <w:t>/</w:t>
      </w:r>
      <w:r>
        <w:rPr>
          <w:rFonts w:ascii="宋体" w:hAnsi="宋体"/>
          <w:sz w:val="24"/>
        </w:rPr>
        <w:t>或供应商的权力。</w:t>
      </w:r>
    </w:p>
    <w:p>
      <w:pPr>
        <w:spacing w:line="360" w:lineRule="auto"/>
        <w:ind w:firstLine="480"/>
        <w:rPr>
          <w:sz w:val="24"/>
        </w:rPr>
      </w:pPr>
      <w:r>
        <w:rPr>
          <w:rFonts w:ascii="宋体" w:hAnsi="宋体"/>
          <w:sz w:val="24"/>
        </w:rPr>
        <w:t>投标人应根据技术部份的规定，提交货物技术规范资料以及书面证据证明其所提供货物符合</w:t>
      </w:r>
      <w:r>
        <w:rPr>
          <w:rFonts w:hint="eastAsia" w:ascii="宋体" w:hAnsi="宋体"/>
          <w:sz w:val="24"/>
        </w:rPr>
        <w:t>招标文件</w:t>
      </w:r>
      <w:r>
        <w:rPr>
          <w:rFonts w:ascii="宋体" w:hAnsi="宋体"/>
          <w:sz w:val="24"/>
        </w:rPr>
        <w:t>技术规范的要求。</w:t>
      </w:r>
    </w:p>
    <w:p>
      <w:pPr>
        <w:spacing w:line="360" w:lineRule="auto"/>
        <w:ind w:firstLine="480"/>
        <w:rPr>
          <w:sz w:val="24"/>
        </w:rPr>
      </w:pPr>
      <w:r>
        <w:rPr>
          <w:rFonts w:ascii="宋体" w:hAnsi="宋体"/>
          <w:sz w:val="24"/>
        </w:rPr>
        <w:t>为了证明所报货物的质量和标准是可以接受的，投标人应说明最少正常运行年限。</w:t>
      </w:r>
    </w:p>
    <w:p>
      <w:pPr>
        <w:spacing w:line="360" w:lineRule="auto"/>
        <w:rPr>
          <w:sz w:val="24"/>
        </w:rPr>
      </w:pPr>
      <w:r>
        <w:rPr>
          <w:rFonts w:ascii="宋体" w:hAnsi="宋体"/>
          <w:sz w:val="24"/>
        </w:rPr>
        <w:t>投标人编制的技术方案应能够证明投标人提供的货物及其辅助服务是合格的货物和服务且符合</w:t>
      </w:r>
      <w:r>
        <w:rPr>
          <w:rFonts w:hint="eastAsia" w:ascii="宋体" w:hAnsi="宋体"/>
          <w:sz w:val="24"/>
        </w:rPr>
        <w:t>招标文件</w:t>
      </w:r>
      <w:r>
        <w:rPr>
          <w:rFonts w:ascii="宋体" w:hAnsi="宋体"/>
          <w:sz w:val="24"/>
        </w:rPr>
        <w:t>规定。技术方案可包含以下内容但不限于以下内容：</w:t>
      </w:r>
    </w:p>
    <w:p>
      <w:pPr>
        <w:spacing w:line="360" w:lineRule="auto"/>
        <w:ind w:firstLine="480"/>
        <w:rPr>
          <w:sz w:val="24"/>
        </w:rPr>
      </w:pPr>
      <w:r>
        <w:rPr>
          <w:rFonts w:ascii="宋体" w:hAnsi="宋体"/>
          <w:sz w:val="24"/>
        </w:rPr>
        <w:t>（</w:t>
      </w:r>
      <w:r>
        <w:rPr>
          <w:sz w:val="24"/>
        </w:rPr>
        <w:t>1</w:t>
      </w:r>
      <w:r>
        <w:rPr>
          <w:rFonts w:ascii="宋体" w:hAnsi="宋体"/>
          <w:sz w:val="24"/>
        </w:rPr>
        <w:t>）产品主要技术数据和性能的详细描述（如有样本需提供样本）；</w:t>
      </w:r>
    </w:p>
    <w:p>
      <w:pPr>
        <w:spacing w:line="360" w:lineRule="auto"/>
        <w:ind w:firstLine="480"/>
        <w:rPr>
          <w:sz w:val="24"/>
        </w:rPr>
      </w:pPr>
      <w:r>
        <w:rPr>
          <w:rFonts w:ascii="宋体" w:hAnsi="宋体"/>
          <w:sz w:val="24"/>
        </w:rPr>
        <w:t>（</w:t>
      </w:r>
      <w:r>
        <w:rPr>
          <w:sz w:val="24"/>
        </w:rPr>
        <w:t>2</w:t>
      </w:r>
      <w:r>
        <w:rPr>
          <w:rFonts w:ascii="宋体" w:hAnsi="宋体"/>
          <w:sz w:val="24"/>
        </w:rPr>
        <w:t>）产品制造、安装、验收标准；</w:t>
      </w:r>
    </w:p>
    <w:p>
      <w:pPr>
        <w:spacing w:line="360" w:lineRule="auto"/>
        <w:ind w:firstLine="480"/>
        <w:rPr>
          <w:rFonts w:ascii="宋体" w:hAnsi="宋体"/>
          <w:sz w:val="24"/>
        </w:rPr>
      </w:pPr>
      <w:r>
        <w:rPr>
          <w:rFonts w:ascii="宋体" w:hAnsi="宋体"/>
          <w:sz w:val="24"/>
        </w:rPr>
        <w:t>（</w:t>
      </w:r>
      <w:r>
        <w:rPr>
          <w:sz w:val="24"/>
        </w:rPr>
        <w:t>3</w:t>
      </w:r>
      <w:r>
        <w:rPr>
          <w:rFonts w:ascii="宋体" w:hAnsi="宋体"/>
          <w:sz w:val="24"/>
        </w:rPr>
        <w:t>）产品主要构成货物的明细表（标明名称、产地、制造商、规格及型号、材质情况）；</w:t>
      </w:r>
    </w:p>
    <w:p>
      <w:pPr>
        <w:spacing w:line="360" w:lineRule="auto"/>
        <w:ind w:firstLine="480"/>
        <w:rPr>
          <w:sz w:val="24"/>
        </w:rPr>
      </w:pPr>
      <w:r>
        <w:rPr>
          <w:rFonts w:hint="eastAsia" w:ascii="宋体" w:hAnsi="宋体"/>
          <w:sz w:val="24"/>
        </w:rPr>
        <w:t>（4）随投标文件提供可满足设计要求的所供货物外形尺寸图（定位尺寸和接口尺寸）、性能参数和性能曲线、货物动静载荷以及货物正常运行所需的外部条件（如供水、供气、供电要求等），含纸质和电子文本；</w:t>
      </w:r>
    </w:p>
    <w:p>
      <w:pPr>
        <w:spacing w:line="360" w:lineRule="auto"/>
        <w:ind w:firstLine="480"/>
        <w:rPr>
          <w:sz w:val="24"/>
        </w:rPr>
      </w:pPr>
      <w:r>
        <w:rPr>
          <w:rFonts w:ascii="宋体" w:hAnsi="宋体"/>
          <w:sz w:val="24"/>
        </w:rPr>
        <w:t>（</w:t>
      </w:r>
      <w:r>
        <w:rPr>
          <w:sz w:val="24"/>
        </w:rPr>
        <w:t>5</w:t>
      </w:r>
      <w:r>
        <w:rPr>
          <w:rFonts w:ascii="宋体" w:hAnsi="宋体"/>
          <w:sz w:val="24"/>
        </w:rPr>
        <w:t>）</w:t>
      </w:r>
      <w:r>
        <w:rPr>
          <w:rFonts w:hint="eastAsia" w:ascii="宋体" w:hAnsi="宋体"/>
          <w:sz w:val="24"/>
        </w:rPr>
        <w:t>招标文件</w:t>
      </w:r>
      <w:r>
        <w:rPr>
          <w:rFonts w:ascii="宋体" w:hAnsi="宋体"/>
          <w:sz w:val="24"/>
        </w:rPr>
        <w:t>第</w:t>
      </w:r>
      <w:r>
        <w:rPr>
          <w:rFonts w:hint="eastAsia" w:ascii="宋体" w:hAnsi="宋体"/>
          <w:sz w:val="24"/>
        </w:rPr>
        <w:t>三</w:t>
      </w:r>
      <w:r>
        <w:rPr>
          <w:rFonts w:ascii="宋体" w:hAnsi="宋体"/>
          <w:sz w:val="24"/>
        </w:rPr>
        <w:t>部分的其他技术要求；</w:t>
      </w:r>
    </w:p>
    <w:p>
      <w:pPr>
        <w:spacing w:line="360" w:lineRule="auto"/>
        <w:ind w:firstLine="480"/>
        <w:rPr>
          <w:sz w:val="24"/>
        </w:rPr>
      </w:pPr>
      <w:r>
        <w:rPr>
          <w:rFonts w:ascii="宋体" w:hAnsi="宋体"/>
          <w:sz w:val="24"/>
        </w:rPr>
        <w:t>（</w:t>
      </w:r>
      <w:r>
        <w:rPr>
          <w:sz w:val="24"/>
        </w:rPr>
        <w:t>6</w:t>
      </w:r>
      <w:r>
        <w:rPr>
          <w:rFonts w:ascii="宋体" w:hAnsi="宋体"/>
          <w:sz w:val="24"/>
        </w:rPr>
        <w:t>）对照</w:t>
      </w:r>
      <w:r>
        <w:rPr>
          <w:rFonts w:hint="eastAsia" w:ascii="宋体" w:hAnsi="宋体"/>
          <w:sz w:val="24"/>
        </w:rPr>
        <w:t>招标文件</w:t>
      </w:r>
      <w:r>
        <w:rPr>
          <w:rFonts w:ascii="宋体" w:hAnsi="宋体"/>
          <w:sz w:val="24"/>
        </w:rPr>
        <w:t>技术规格、参数与要求，逐条说明所提供货物和服务已对</w:t>
      </w:r>
      <w:r>
        <w:rPr>
          <w:rFonts w:hint="eastAsia" w:ascii="宋体" w:hAnsi="宋体"/>
          <w:sz w:val="24"/>
        </w:rPr>
        <w:t>招标文件</w:t>
      </w:r>
      <w:r>
        <w:rPr>
          <w:rFonts w:ascii="宋体" w:hAnsi="宋体"/>
          <w:sz w:val="24"/>
        </w:rPr>
        <w:t>的技术规格、参数与要求做出了实质性的响应，或申明与技术规格、参数与要求条文的偏差和例外（技术规范偏离表中注明）。特别对于有具体参数要求的指标，投标人必须提供所投货物的具体参数值。如未附任何表示与标书所要求的技术规格存在偏差的规格偏离表，即表示提供的货物和服务与标书中的要求完全符合</w:t>
      </w:r>
      <w:r>
        <w:rPr>
          <w:sz w:val="24"/>
        </w:rPr>
        <w:t>。</w:t>
      </w:r>
    </w:p>
    <w:p>
      <w:pPr>
        <w:spacing w:line="360" w:lineRule="auto"/>
        <w:ind w:firstLine="482"/>
        <w:rPr>
          <w:b/>
          <w:bCs/>
          <w:sz w:val="24"/>
        </w:rPr>
      </w:pPr>
      <w:r>
        <w:rPr>
          <w:b/>
          <w:bCs/>
          <w:sz w:val="24"/>
        </w:rPr>
        <w:t xml:space="preserve">11.2 </w:t>
      </w:r>
      <w:r>
        <w:rPr>
          <w:rFonts w:ascii="宋体" w:hAnsi="宋体"/>
          <w:b/>
          <w:bCs/>
          <w:sz w:val="24"/>
        </w:rPr>
        <w:t>投标文件商务</w:t>
      </w:r>
      <w:r>
        <w:rPr>
          <w:rFonts w:hint="eastAsia" w:ascii="宋体" w:hAnsi="宋体"/>
          <w:b/>
          <w:bCs/>
          <w:sz w:val="24"/>
          <w:lang w:eastAsia="zh-CN"/>
        </w:rPr>
        <w:t>和报价</w:t>
      </w:r>
      <w:r>
        <w:rPr>
          <w:rFonts w:ascii="宋体" w:hAnsi="宋体"/>
          <w:b/>
          <w:bCs/>
          <w:sz w:val="24"/>
        </w:rPr>
        <w:t>部分包含内容（见第</w:t>
      </w:r>
      <w:r>
        <w:rPr>
          <w:rFonts w:hint="eastAsia" w:ascii="宋体" w:hAnsi="宋体"/>
          <w:b/>
          <w:bCs/>
          <w:sz w:val="24"/>
        </w:rPr>
        <w:t>五</w:t>
      </w:r>
      <w:r>
        <w:rPr>
          <w:rFonts w:ascii="宋体" w:hAnsi="宋体"/>
          <w:b/>
          <w:bCs/>
          <w:sz w:val="24"/>
        </w:rPr>
        <w:t>部分）：</w:t>
      </w:r>
    </w:p>
    <w:p>
      <w:pPr>
        <w:spacing w:line="360" w:lineRule="auto"/>
        <w:ind w:firstLine="480"/>
        <w:rPr>
          <w:rFonts w:ascii="宋体" w:hAnsi="宋体"/>
          <w:sz w:val="24"/>
        </w:rPr>
      </w:pPr>
      <w:r>
        <w:rPr>
          <w:sz w:val="24"/>
        </w:rPr>
        <w:t>11.2.1</w:t>
      </w:r>
      <w:r>
        <w:rPr>
          <w:rFonts w:ascii="宋体" w:hAnsi="宋体"/>
          <w:sz w:val="24"/>
        </w:rPr>
        <w:t>投标函</w:t>
      </w:r>
      <w:r>
        <w:rPr>
          <w:rFonts w:hint="eastAsia" w:ascii="宋体" w:hAnsi="宋体"/>
          <w:sz w:val="24"/>
        </w:rPr>
        <w:t>。</w:t>
      </w:r>
    </w:p>
    <w:p>
      <w:pPr>
        <w:spacing w:line="360" w:lineRule="auto"/>
        <w:ind w:firstLine="480"/>
        <w:rPr>
          <w:rFonts w:hint="eastAsia"/>
          <w:sz w:val="24"/>
        </w:rPr>
      </w:pPr>
      <w:r>
        <w:rPr>
          <w:rFonts w:hint="eastAsia"/>
          <w:sz w:val="24"/>
        </w:rPr>
        <w:t>11</w:t>
      </w:r>
      <w:r>
        <w:rPr>
          <w:sz w:val="24"/>
        </w:rPr>
        <w:t>.2.</w:t>
      </w:r>
      <w:r>
        <w:rPr>
          <w:rFonts w:hint="eastAsia"/>
          <w:sz w:val="24"/>
        </w:rPr>
        <w:t>2</w:t>
      </w:r>
      <w:r>
        <w:rPr>
          <w:sz w:val="24"/>
        </w:rPr>
        <w:t>开标一览表</w:t>
      </w:r>
      <w:r>
        <w:rPr>
          <w:rFonts w:hint="eastAsia"/>
          <w:sz w:val="24"/>
        </w:rPr>
        <w:t>。</w:t>
      </w:r>
    </w:p>
    <w:p>
      <w:pPr>
        <w:spacing w:line="360" w:lineRule="auto"/>
        <w:ind w:firstLine="480"/>
        <w:rPr>
          <w:sz w:val="24"/>
        </w:rPr>
      </w:pPr>
      <w:r>
        <w:rPr>
          <w:sz w:val="24"/>
        </w:rPr>
        <w:t>11.</w:t>
      </w:r>
      <w:r>
        <w:rPr>
          <w:rFonts w:hint="eastAsia"/>
          <w:sz w:val="24"/>
          <w:lang w:val="en-US" w:eastAsia="zh-CN"/>
        </w:rPr>
        <w:t>2</w:t>
      </w:r>
      <w:r>
        <w:rPr>
          <w:sz w:val="24"/>
        </w:rPr>
        <w:t>.</w:t>
      </w:r>
      <w:r>
        <w:rPr>
          <w:rFonts w:hint="eastAsia"/>
          <w:sz w:val="24"/>
          <w:lang w:val="en-US" w:eastAsia="zh-CN"/>
        </w:rPr>
        <w:t>3</w:t>
      </w:r>
      <w:r>
        <w:rPr>
          <w:sz w:val="24"/>
        </w:rPr>
        <w:t>售后服务承诺</w:t>
      </w:r>
      <w:r>
        <w:rPr>
          <w:rFonts w:hint="eastAsia"/>
          <w:sz w:val="24"/>
        </w:rPr>
        <w:t>。</w:t>
      </w:r>
    </w:p>
    <w:p>
      <w:pPr>
        <w:spacing w:line="360" w:lineRule="auto"/>
        <w:ind w:firstLine="480"/>
        <w:rPr>
          <w:rFonts w:hint="eastAsia"/>
          <w:sz w:val="24"/>
        </w:rPr>
      </w:pPr>
      <w:r>
        <w:rPr>
          <w:sz w:val="24"/>
        </w:rPr>
        <w:t>11.</w:t>
      </w:r>
      <w:r>
        <w:rPr>
          <w:rFonts w:hint="eastAsia"/>
          <w:sz w:val="24"/>
          <w:lang w:val="en-US" w:eastAsia="zh-CN"/>
        </w:rPr>
        <w:t>2</w:t>
      </w:r>
      <w:r>
        <w:rPr>
          <w:sz w:val="24"/>
        </w:rPr>
        <w:t>.</w:t>
      </w:r>
      <w:r>
        <w:rPr>
          <w:rFonts w:hint="eastAsia"/>
          <w:sz w:val="24"/>
          <w:lang w:val="en-US" w:eastAsia="zh-CN"/>
        </w:rPr>
        <w:t>4</w:t>
      </w:r>
      <w:r>
        <w:rPr>
          <w:sz w:val="24"/>
        </w:rPr>
        <w:t>商务条款偏离表</w:t>
      </w:r>
      <w:r>
        <w:rPr>
          <w:rFonts w:hint="eastAsia"/>
          <w:sz w:val="24"/>
        </w:rPr>
        <w:t>。</w:t>
      </w:r>
    </w:p>
    <w:p>
      <w:pPr>
        <w:spacing w:line="360" w:lineRule="auto"/>
        <w:ind w:firstLine="480"/>
        <w:rPr>
          <w:sz w:val="24"/>
        </w:rPr>
      </w:pPr>
      <w:r>
        <w:rPr>
          <w:sz w:val="24"/>
        </w:rPr>
        <w:t>11.</w:t>
      </w:r>
      <w:r>
        <w:rPr>
          <w:rFonts w:hint="eastAsia"/>
          <w:sz w:val="24"/>
          <w:lang w:val="en-US" w:eastAsia="zh-CN"/>
        </w:rPr>
        <w:t>2.5</w:t>
      </w:r>
      <w:r>
        <w:rPr>
          <w:sz w:val="24"/>
        </w:rPr>
        <w:t>资格证明文件包含内容</w:t>
      </w:r>
      <w:r>
        <w:rPr>
          <w:rFonts w:hint="eastAsia"/>
          <w:sz w:val="24"/>
        </w:rPr>
        <w:t>：</w:t>
      </w:r>
    </w:p>
    <w:p>
      <w:pPr>
        <w:spacing w:line="360" w:lineRule="auto"/>
        <w:ind w:firstLine="480"/>
        <w:rPr>
          <w:sz w:val="24"/>
        </w:rPr>
      </w:pPr>
      <w:r>
        <w:rPr>
          <w:bCs/>
          <w:sz w:val="24"/>
        </w:rPr>
        <w:t>（一）</w:t>
      </w:r>
      <w:r>
        <w:rPr>
          <w:rFonts w:ascii="宋体" w:hAnsi="宋体"/>
          <w:sz w:val="24"/>
        </w:rPr>
        <w:t>法人代表授权书</w:t>
      </w:r>
      <w:r>
        <w:rPr>
          <w:rFonts w:hint="eastAsia" w:ascii="宋体" w:hAnsi="宋体"/>
          <w:sz w:val="24"/>
        </w:rPr>
        <w:t>；</w:t>
      </w:r>
    </w:p>
    <w:p>
      <w:pPr>
        <w:spacing w:line="360" w:lineRule="auto"/>
        <w:ind w:firstLine="480"/>
        <w:rPr>
          <w:sz w:val="24"/>
        </w:rPr>
      </w:pPr>
      <w:r>
        <w:rPr>
          <w:bCs/>
          <w:sz w:val="24"/>
        </w:rPr>
        <w:t>（二）</w:t>
      </w:r>
      <w:r>
        <w:rPr>
          <w:rFonts w:ascii="宋体" w:hAnsi="宋体"/>
          <w:sz w:val="24"/>
        </w:rPr>
        <w:t>投标单位情况表</w:t>
      </w:r>
      <w:r>
        <w:rPr>
          <w:rFonts w:hint="eastAsia" w:ascii="宋体" w:hAnsi="宋体"/>
          <w:sz w:val="24"/>
        </w:rPr>
        <w:t>；</w:t>
      </w:r>
    </w:p>
    <w:p>
      <w:pPr>
        <w:spacing w:line="360" w:lineRule="auto"/>
        <w:ind w:firstLine="480"/>
        <w:rPr>
          <w:rFonts w:ascii="宋体" w:hAnsi="宋体"/>
          <w:sz w:val="24"/>
        </w:rPr>
      </w:pPr>
      <w:r>
        <w:rPr>
          <w:bCs/>
          <w:sz w:val="24"/>
        </w:rPr>
        <w:t>（三）</w:t>
      </w:r>
      <w:r>
        <w:rPr>
          <w:rFonts w:ascii="宋体" w:hAnsi="宋体"/>
          <w:sz w:val="24"/>
        </w:rPr>
        <w:t>有效的营业执照（复印件）</w:t>
      </w:r>
      <w:r>
        <w:rPr>
          <w:rFonts w:hint="eastAsia" w:ascii="宋体" w:hAnsi="宋体"/>
          <w:sz w:val="24"/>
        </w:rPr>
        <w:t>；</w:t>
      </w:r>
    </w:p>
    <w:p>
      <w:pPr>
        <w:spacing w:line="360" w:lineRule="auto"/>
        <w:ind w:firstLine="480"/>
        <w:rPr>
          <w:rFonts w:hint="eastAsia"/>
        </w:rPr>
      </w:pPr>
      <w:r>
        <w:rPr>
          <w:rFonts w:ascii="宋体" w:hAnsi="宋体"/>
          <w:sz w:val="24"/>
        </w:rPr>
        <w:t>（四）“信用中国”网站截图（复印件）。</w:t>
      </w:r>
    </w:p>
    <w:p>
      <w:pPr>
        <w:spacing w:line="360" w:lineRule="auto"/>
        <w:rPr>
          <w:b/>
          <w:sz w:val="24"/>
        </w:rPr>
      </w:pPr>
      <w:r>
        <w:rPr>
          <w:b/>
          <w:sz w:val="24"/>
        </w:rPr>
        <w:t>12</w:t>
      </w:r>
      <w:r>
        <w:rPr>
          <w:rFonts w:ascii="宋体" w:hAnsi="宋体"/>
          <w:b/>
          <w:sz w:val="24"/>
        </w:rPr>
        <w:t>、投标文件编制</w:t>
      </w:r>
    </w:p>
    <w:p>
      <w:pPr>
        <w:spacing w:line="360" w:lineRule="auto"/>
        <w:rPr>
          <w:sz w:val="24"/>
        </w:rPr>
      </w:pPr>
      <w:r>
        <w:rPr>
          <w:sz w:val="24"/>
        </w:rPr>
        <w:t>12.1</w:t>
      </w:r>
      <w:r>
        <w:rPr>
          <w:rFonts w:ascii="宋体" w:hAnsi="宋体"/>
          <w:sz w:val="24"/>
        </w:rPr>
        <w:t>投标人应按</w:t>
      </w:r>
      <w:r>
        <w:rPr>
          <w:rFonts w:hint="eastAsia" w:ascii="宋体" w:hAnsi="宋体"/>
          <w:sz w:val="24"/>
        </w:rPr>
        <w:t>招标文件</w:t>
      </w:r>
      <w:r>
        <w:rPr>
          <w:rFonts w:ascii="宋体" w:hAnsi="宋体"/>
          <w:sz w:val="24"/>
        </w:rPr>
        <w:t>中提供的格式（第</w:t>
      </w:r>
      <w:r>
        <w:rPr>
          <w:rFonts w:hint="eastAsia" w:ascii="宋体" w:hAnsi="宋体"/>
          <w:sz w:val="24"/>
        </w:rPr>
        <w:t>五</w:t>
      </w:r>
      <w:r>
        <w:rPr>
          <w:rFonts w:ascii="宋体" w:hAnsi="宋体"/>
          <w:sz w:val="24"/>
        </w:rPr>
        <w:t>部分）完整地填写投标书列明的各种文件和表格。</w:t>
      </w:r>
      <w:r>
        <w:rPr>
          <w:rFonts w:hint="eastAsia" w:ascii="宋体" w:hAnsi="宋体"/>
          <w:sz w:val="24"/>
        </w:rPr>
        <w:t>招标文件</w:t>
      </w:r>
      <w:r>
        <w:rPr>
          <w:rFonts w:ascii="宋体" w:hAnsi="宋体"/>
          <w:sz w:val="24"/>
        </w:rPr>
        <w:t>不足部分，投标人可以自行补充。</w:t>
      </w:r>
    </w:p>
    <w:p>
      <w:pPr>
        <w:spacing w:line="360" w:lineRule="auto"/>
        <w:rPr>
          <w:b/>
          <w:sz w:val="24"/>
        </w:rPr>
      </w:pPr>
      <w:r>
        <w:rPr>
          <w:b/>
          <w:sz w:val="24"/>
        </w:rPr>
        <w:t>13</w:t>
      </w:r>
      <w:r>
        <w:rPr>
          <w:rFonts w:ascii="宋体" w:hAnsi="宋体"/>
          <w:b/>
          <w:sz w:val="24"/>
        </w:rPr>
        <w:t>、投标</w:t>
      </w:r>
      <w:r>
        <w:rPr>
          <w:rFonts w:hint="eastAsia" w:ascii="宋体" w:hAnsi="宋体"/>
          <w:b/>
          <w:sz w:val="24"/>
        </w:rPr>
        <w:t>报</w:t>
      </w:r>
      <w:r>
        <w:rPr>
          <w:rFonts w:ascii="宋体" w:hAnsi="宋体"/>
          <w:b/>
          <w:sz w:val="24"/>
        </w:rPr>
        <w:t>价</w:t>
      </w:r>
    </w:p>
    <w:p>
      <w:pPr>
        <w:spacing w:line="360" w:lineRule="auto"/>
        <w:rPr>
          <w:rFonts w:ascii="宋体" w:hAnsi="宋体"/>
          <w:sz w:val="24"/>
        </w:rPr>
      </w:pPr>
      <w:r>
        <w:rPr>
          <w:rFonts w:ascii="宋体" w:hAnsi="宋体"/>
          <w:sz w:val="24"/>
        </w:rPr>
        <w:t>13.1报价含</w:t>
      </w:r>
      <w:r>
        <w:rPr>
          <w:rFonts w:hint="eastAsia" w:ascii="宋体" w:hAnsi="宋体"/>
          <w:sz w:val="24"/>
        </w:rPr>
        <w:t>招标文件要求</w:t>
      </w:r>
      <w:r>
        <w:rPr>
          <w:rFonts w:ascii="宋体" w:hAnsi="宋体"/>
          <w:sz w:val="24"/>
        </w:rPr>
        <w:t>范围内技术资料、技术服务等费用，还包括合同</w:t>
      </w:r>
      <w:r>
        <w:rPr>
          <w:rFonts w:hint="eastAsia" w:ascii="宋体" w:hAnsi="宋体"/>
          <w:sz w:val="24"/>
        </w:rPr>
        <w:t>设备</w:t>
      </w:r>
      <w:r>
        <w:rPr>
          <w:rFonts w:ascii="宋体" w:hAnsi="宋体"/>
          <w:sz w:val="24"/>
        </w:rPr>
        <w:t>的税费、运杂费（从制造厂至交货地点）</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eastAsia="zh-CN"/>
          <w14:textFill>
            <w14:solidFill>
              <w14:schemeClr w14:val="tx1"/>
            </w14:solidFill>
          </w14:textFill>
        </w:rPr>
        <w:t>装卸费、</w:t>
      </w:r>
      <w:r>
        <w:rPr>
          <w:rFonts w:ascii="宋体" w:hAnsi="宋体"/>
          <w:color w:val="000000" w:themeColor="text1"/>
          <w:sz w:val="24"/>
          <w:szCs w:val="24"/>
          <w14:textFill>
            <w14:solidFill>
              <w14:schemeClr w14:val="tx1"/>
            </w14:solidFill>
          </w14:textFill>
        </w:rPr>
        <w:t>保险费</w:t>
      </w:r>
      <w:r>
        <w:rPr>
          <w:rFonts w:hint="eastAsia" w:ascii="宋体" w:hAnsi="宋体"/>
          <w:color w:val="000000" w:themeColor="text1"/>
          <w:sz w:val="24"/>
          <w:szCs w:val="24"/>
          <w14:textFill>
            <w14:solidFill>
              <w14:schemeClr w14:val="tx1"/>
            </w14:solidFill>
          </w14:textFill>
        </w:rPr>
        <w:t>、安装调试费</w:t>
      </w:r>
      <w:r>
        <w:rPr>
          <w:rFonts w:ascii="宋体" w:hAnsi="宋体"/>
          <w:color w:val="000000" w:themeColor="text1"/>
          <w:sz w:val="24"/>
          <w:szCs w:val="24"/>
          <w14:textFill>
            <w14:solidFill>
              <w14:schemeClr w14:val="tx1"/>
            </w14:solidFill>
          </w14:textFill>
        </w:rPr>
        <w:t>等所</w:t>
      </w:r>
      <w:r>
        <w:rPr>
          <w:rFonts w:ascii="宋体" w:hAnsi="宋体"/>
          <w:sz w:val="24"/>
        </w:rPr>
        <w:t>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ascii="宋体" w:hAnsi="宋体"/>
          <w:sz w:val="24"/>
        </w:rPr>
        <w:t>卖方必须向采购方提供全额增值税专用发票(增值税13%)。</w:t>
      </w:r>
    </w:p>
    <w:p>
      <w:pPr>
        <w:spacing w:line="360" w:lineRule="auto"/>
        <w:ind w:firstLine="480"/>
        <w:rPr>
          <w:sz w:val="24"/>
        </w:rPr>
      </w:pPr>
      <w:r>
        <w:rPr>
          <w:sz w:val="24"/>
        </w:rPr>
        <w:t>13.2招标代理人不接受投标人对任何未办理正常进口手续的非中华人民共和国境内生产的货物的投标报价。</w:t>
      </w:r>
    </w:p>
    <w:p>
      <w:pPr>
        <w:spacing w:line="360" w:lineRule="auto"/>
        <w:ind w:firstLine="480"/>
        <w:rPr>
          <w:sz w:val="24"/>
        </w:rPr>
      </w:pPr>
      <w:r>
        <w:rPr>
          <w:sz w:val="24"/>
        </w:rPr>
        <w:t>13.3</w:t>
      </w:r>
      <w:r>
        <w:rPr>
          <w:rFonts w:ascii="宋体" w:hAnsi="宋体"/>
          <w:sz w:val="24"/>
        </w:rPr>
        <w:t>投标人所报的价格在合同执行过程中是固定的，除招标单位原因引起的设计变更外，不得以任何理由予以变更。价格有效期应保持到整个合同履行完毕。投标人提交</w:t>
      </w:r>
      <w:r>
        <w:rPr>
          <w:rFonts w:hint="eastAsia" w:ascii="宋体" w:hAnsi="宋体"/>
          <w:sz w:val="24"/>
        </w:rPr>
        <w:t>浮</w:t>
      </w:r>
      <w:r>
        <w:rPr>
          <w:rFonts w:ascii="宋体" w:hAnsi="宋体"/>
          <w:sz w:val="24"/>
        </w:rPr>
        <w:t>动价格的投标文件将作为非响应性投标而予以拒绝。</w:t>
      </w:r>
    </w:p>
    <w:p>
      <w:pPr>
        <w:spacing w:line="360" w:lineRule="auto"/>
        <w:rPr>
          <w:b/>
          <w:sz w:val="24"/>
        </w:rPr>
      </w:pPr>
      <w:r>
        <w:rPr>
          <w:b/>
          <w:sz w:val="24"/>
        </w:rPr>
        <w:t>14</w:t>
      </w:r>
      <w:r>
        <w:rPr>
          <w:rFonts w:ascii="宋体" w:hAnsi="宋体"/>
          <w:b/>
          <w:sz w:val="24"/>
        </w:rPr>
        <w:t>、投标货币</w:t>
      </w:r>
    </w:p>
    <w:p>
      <w:pPr>
        <w:spacing w:line="360" w:lineRule="auto"/>
        <w:ind w:firstLine="570"/>
        <w:rPr>
          <w:sz w:val="24"/>
        </w:rPr>
      </w:pPr>
      <w:r>
        <w:rPr>
          <w:sz w:val="24"/>
        </w:rPr>
        <w:t>14.1</w:t>
      </w:r>
      <w:r>
        <w:rPr>
          <w:rFonts w:ascii="宋体" w:hAnsi="宋体"/>
          <w:sz w:val="24"/>
        </w:rPr>
        <w:t>投标书、开标一览表中的报价应采用人民币。</w:t>
      </w:r>
    </w:p>
    <w:p>
      <w:pPr>
        <w:spacing w:line="360" w:lineRule="auto"/>
        <w:rPr>
          <w:b/>
          <w:sz w:val="24"/>
        </w:rPr>
      </w:pPr>
      <w:r>
        <w:rPr>
          <w:b/>
          <w:sz w:val="24"/>
        </w:rPr>
        <w:t>15</w:t>
      </w:r>
      <w:r>
        <w:rPr>
          <w:rFonts w:ascii="宋体" w:hAnsi="宋体"/>
          <w:b/>
          <w:sz w:val="24"/>
        </w:rPr>
        <w:t>、</w:t>
      </w:r>
      <w:r>
        <w:rPr>
          <w:rFonts w:hint="eastAsia" w:ascii="宋体" w:hAnsi="宋体"/>
          <w:b/>
          <w:sz w:val="24"/>
        </w:rPr>
        <w:t>货物</w:t>
      </w:r>
      <w:r>
        <w:rPr>
          <w:rFonts w:ascii="宋体" w:hAnsi="宋体"/>
          <w:b/>
          <w:sz w:val="24"/>
        </w:rPr>
        <w:t>符合</w:t>
      </w:r>
      <w:r>
        <w:rPr>
          <w:rFonts w:hint="eastAsia" w:ascii="宋体" w:hAnsi="宋体"/>
          <w:b/>
          <w:sz w:val="24"/>
        </w:rPr>
        <w:t>招标文件</w:t>
      </w:r>
      <w:r>
        <w:rPr>
          <w:rFonts w:ascii="宋体" w:hAnsi="宋体"/>
          <w:b/>
          <w:sz w:val="24"/>
        </w:rPr>
        <w:t>规定的证明文件</w:t>
      </w:r>
    </w:p>
    <w:p>
      <w:pPr>
        <w:spacing w:line="360" w:lineRule="auto"/>
        <w:ind w:firstLine="570"/>
        <w:rPr>
          <w:sz w:val="24"/>
        </w:rPr>
      </w:pPr>
      <w:r>
        <w:rPr>
          <w:sz w:val="24"/>
        </w:rPr>
        <w:t>15.1</w:t>
      </w:r>
      <w:r>
        <w:rPr>
          <w:rFonts w:ascii="宋体" w:hAnsi="宋体"/>
          <w:sz w:val="24"/>
        </w:rPr>
        <w:t>本</w:t>
      </w:r>
      <w:r>
        <w:rPr>
          <w:rFonts w:hint="eastAsia" w:ascii="宋体" w:hAnsi="宋体"/>
          <w:sz w:val="24"/>
        </w:rPr>
        <w:t>招标文件</w:t>
      </w:r>
      <w:r>
        <w:rPr>
          <w:rFonts w:ascii="宋体" w:hAnsi="宋体"/>
          <w:sz w:val="24"/>
        </w:rPr>
        <w:t>的技术规范书中所指出的工艺、货物和货物的标准，以及商标或样本目录号码的参考资料仅系说明并非进行限制。投标人可提出替代标准、商标或样本目录号码，但该替代应基本上相当于或优于技术规格中的规定，以使买方满意。</w:t>
      </w:r>
    </w:p>
    <w:p>
      <w:pPr>
        <w:spacing w:line="360" w:lineRule="auto"/>
        <w:rPr>
          <w:b/>
          <w:sz w:val="24"/>
        </w:rPr>
      </w:pPr>
      <w:r>
        <w:rPr>
          <w:b/>
          <w:sz w:val="24"/>
        </w:rPr>
        <w:t>16</w:t>
      </w:r>
      <w:r>
        <w:rPr>
          <w:rFonts w:ascii="宋体" w:hAnsi="宋体"/>
          <w:b/>
          <w:sz w:val="24"/>
        </w:rPr>
        <w:t>、投标有效期</w:t>
      </w:r>
    </w:p>
    <w:p>
      <w:pPr>
        <w:spacing w:line="360" w:lineRule="auto"/>
        <w:ind w:firstLine="570"/>
        <w:rPr>
          <w:sz w:val="24"/>
        </w:rPr>
      </w:pPr>
      <w:r>
        <w:rPr>
          <w:sz w:val="24"/>
        </w:rPr>
        <w:t>16.1</w:t>
      </w:r>
      <w:r>
        <w:rPr>
          <w:rFonts w:ascii="宋体" w:hAnsi="宋体"/>
          <w:sz w:val="24"/>
        </w:rPr>
        <w:t>所</w:t>
      </w:r>
      <w:r>
        <w:rPr>
          <w:rFonts w:hint="eastAsia" w:ascii="宋体" w:hAnsi="宋体"/>
          <w:sz w:val="24"/>
        </w:rPr>
        <w:t>递交</w:t>
      </w:r>
      <w:r>
        <w:rPr>
          <w:rFonts w:ascii="宋体" w:hAnsi="宋体"/>
          <w:sz w:val="24"/>
        </w:rPr>
        <w:t>的标</w:t>
      </w:r>
      <w:r>
        <w:rPr>
          <w:rFonts w:hint="eastAsia" w:ascii="宋体" w:hAnsi="宋体"/>
          <w:sz w:val="24"/>
        </w:rPr>
        <w:t>书</w:t>
      </w:r>
      <w:r>
        <w:rPr>
          <w:rFonts w:ascii="宋体" w:hAnsi="宋体"/>
          <w:sz w:val="24"/>
        </w:rPr>
        <w:t>应从投标截止日起，在</w:t>
      </w:r>
      <w:r>
        <w:rPr>
          <w:sz w:val="24"/>
        </w:rPr>
        <w:t>“</w:t>
      </w:r>
      <w:r>
        <w:rPr>
          <w:rFonts w:ascii="宋体" w:hAnsi="宋体"/>
          <w:sz w:val="24"/>
        </w:rPr>
        <w:t>投标人须知前附表</w:t>
      </w:r>
      <w:r>
        <w:rPr>
          <w:sz w:val="24"/>
        </w:rPr>
        <w:t>”</w:t>
      </w:r>
      <w:r>
        <w:rPr>
          <w:rFonts w:ascii="宋体" w:hAnsi="宋体"/>
          <w:sz w:val="24"/>
        </w:rPr>
        <w:t>所规定的，以日历天计算的投标有效期内有效。</w:t>
      </w:r>
    </w:p>
    <w:p>
      <w:pPr>
        <w:spacing w:line="360" w:lineRule="auto"/>
        <w:ind w:firstLine="570"/>
        <w:rPr>
          <w:sz w:val="24"/>
        </w:rPr>
      </w:pPr>
      <w:r>
        <w:rPr>
          <w:sz w:val="24"/>
        </w:rPr>
        <w:t>16.2</w:t>
      </w:r>
      <w:r>
        <w:rPr>
          <w:rFonts w:ascii="宋体" w:hAnsi="宋体"/>
          <w:sz w:val="24"/>
        </w:rPr>
        <w:t>特殊情况下，招标单位可于投标有效期满之前要求投标人同意延长有效期，要求与答复均应以书面形式。投标人可以拒绝上述要求。同意该要求的投标人不能修改投标文件。</w:t>
      </w:r>
    </w:p>
    <w:p>
      <w:pPr>
        <w:spacing w:line="360" w:lineRule="auto"/>
        <w:rPr>
          <w:b/>
          <w:sz w:val="24"/>
        </w:rPr>
      </w:pPr>
      <w:r>
        <w:rPr>
          <w:b/>
          <w:sz w:val="24"/>
        </w:rPr>
        <w:t>17</w:t>
      </w:r>
      <w:r>
        <w:rPr>
          <w:rFonts w:ascii="宋体" w:hAnsi="宋体"/>
          <w:b/>
          <w:sz w:val="24"/>
        </w:rPr>
        <w:t>、投标文件的数量</w:t>
      </w:r>
    </w:p>
    <w:p>
      <w:pPr>
        <w:spacing w:line="360" w:lineRule="auto"/>
        <w:ind w:firstLine="480"/>
        <w:rPr>
          <w:sz w:val="24"/>
        </w:rPr>
      </w:pPr>
      <w:r>
        <w:rPr>
          <w:sz w:val="24"/>
        </w:rPr>
        <w:t xml:space="preserve">17.1 </w:t>
      </w:r>
      <w:r>
        <w:rPr>
          <w:rFonts w:ascii="宋体" w:hAnsi="宋体"/>
          <w:sz w:val="24"/>
        </w:rPr>
        <w:t>投标人应</w:t>
      </w:r>
      <w:r>
        <w:rPr>
          <w:rFonts w:hint="eastAsia" w:ascii="宋体" w:hAnsi="宋体"/>
          <w:b/>
          <w:bCs/>
          <w:sz w:val="24"/>
        </w:rPr>
        <w:t>按标段每个标段</w:t>
      </w:r>
      <w:r>
        <w:rPr>
          <w:rFonts w:ascii="宋体" w:hAnsi="宋体"/>
          <w:sz w:val="24"/>
        </w:rPr>
        <w:t>准备一份正本、</w:t>
      </w:r>
      <w:r>
        <w:rPr>
          <w:rFonts w:hint="eastAsia" w:ascii="宋体" w:hAnsi="宋体"/>
          <w:sz w:val="24"/>
        </w:rPr>
        <w:t>贰</w:t>
      </w:r>
      <w:r>
        <w:rPr>
          <w:rFonts w:ascii="宋体" w:hAnsi="宋体"/>
          <w:sz w:val="24"/>
        </w:rPr>
        <w:t>份副本，在每一份投标文件上要明确注明</w:t>
      </w:r>
      <w:r>
        <w:rPr>
          <w:sz w:val="24"/>
        </w:rPr>
        <w:t>“</w:t>
      </w:r>
      <w:r>
        <w:rPr>
          <w:rFonts w:ascii="宋体" w:hAnsi="宋体"/>
          <w:sz w:val="24"/>
        </w:rPr>
        <w:t>正本</w:t>
      </w:r>
      <w:r>
        <w:rPr>
          <w:sz w:val="24"/>
        </w:rPr>
        <w:t>”</w:t>
      </w:r>
      <w:r>
        <w:rPr>
          <w:rFonts w:ascii="宋体" w:hAnsi="宋体"/>
          <w:sz w:val="24"/>
        </w:rPr>
        <w:t>和</w:t>
      </w:r>
      <w:r>
        <w:rPr>
          <w:sz w:val="24"/>
        </w:rPr>
        <w:t>“</w:t>
      </w:r>
      <w:r>
        <w:rPr>
          <w:rFonts w:ascii="宋体" w:hAnsi="宋体"/>
          <w:sz w:val="24"/>
        </w:rPr>
        <w:t>副本</w:t>
      </w:r>
      <w:r>
        <w:rPr>
          <w:sz w:val="24"/>
        </w:rPr>
        <w:t>”</w:t>
      </w:r>
      <w:r>
        <w:rPr>
          <w:rFonts w:ascii="宋体" w:hAnsi="宋体"/>
          <w:sz w:val="24"/>
        </w:rPr>
        <w:t>，若正本和副本发现差异，以正本为准。</w:t>
      </w:r>
    </w:p>
    <w:p>
      <w:pPr>
        <w:spacing w:line="360" w:lineRule="auto"/>
        <w:ind w:firstLine="480"/>
        <w:rPr>
          <w:rFonts w:ascii="宋体" w:hAnsi="宋体"/>
          <w:sz w:val="24"/>
        </w:rPr>
      </w:pPr>
      <w:r>
        <w:rPr>
          <w:sz w:val="24"/>
        </w:rPr>
        <w:t xml:space="preserve">17.2 </w:t>
      </w:r>
      <w:r>
        <w:rPr>
          <w:rFonts w:hint="eastAsia" w:ascii="宋体" w:hAnsi="宋体"/>
          <w:sz w:val="24"/>
        </w:rPr>
        <w:t>电子版</w:t>
      </w:r>
      <w:r>
        <w:rPr>
          <w:rFonts w:ascii="宋体" w:hAnsi="宋体"/>
          <w:sz w:val="24"/>
        </w:rPr>
        <w:t>文件：文字内容采用</w:t>
      </w:r>
      <w:r>
        <w:rPr>
          <w:sz w:val="24"/>
        </w:rPr>
        <w:t>Microsoft word</w:t>
      </w:r>
      <w:r>
        <w:rPr>
          <w:rFonts w:ascii="宋体" w:hAnsi="宋体"/>
          <w:sz w:val="24"/>
        </w:rPr>
        <w:t>格式文件，报价表用</w:t>
      </w:r>
      <w:r>
        <w:rPr>
          <w:sz w:val="24"/>
        </w:rPr>
        <w:t>Microsoft  Excel</w:t>
      </w:r>
      <w:r>
        <w:rPr>
          <w:rFonts w:ascii="宋体" w:hAnsi="宋体"/>
          <w:sz w:val="24"/>
        </w:rPr>
        <w:t>格式文件，</w:t>
      </w:r>
      <w:r>
        <w:rPr>
          <w:rFonts w:hint="eastAsia" w:ascii="宋体" w:hAnsi="宋体"/>
          <w:sz w:val="24"/>
        </w:rPr>
        <w:t>图形文件用AutoCAD格式文件，</w:t>
      </w:r>
      <w:r>
        <w:rPr>
          <w:rFonts w:ascii="宋体" w:hAnsi="宋体"/>
          <w:sz w:val="24"/>
        </w:rPr>
        <w:t>全部文本文件、图形文件均应制作成</w:t>
      </w:r>
      <w:r>
        <w:rPr>
          <w:rFonts w:hint="eastAsia" w:ascii="宋体" w:hAnsi="宋体"/>
          <w:sz w:val="24"/>
        </w:rPr>
        <w:t>电子版可编辑</w:t>
      </w:r>
      <w:r>
        <w:rPr>
          <w:rFonts w:ascii="宋体" w:hAnsi="宋体"/>
          <w:sz w:val="24"/>
        </w:rPr>
        <w:t>文件，提交U盘</w:t>
      </w:r>
      <w:r>
        <w:rPr>
          <w:rFonts w:hint="eastAsia" w:ascii="宋体" w:hAnsi="宋体"/>
          <w:sz w:val="24"/>
        </w:rPr>
        <w:t>1</w:t>
      </w:r>
      <w:r>
        <w:rPr>
          <w:rFonts w:ascii="宋体" w:hAnsi="宋体"/>
          <w:sz w:val="24"/>
        </w:rPr>
        <w:t>套。</w:t>
      </w:r>
    </w:p>
    <w:p>
      <w:pPr>
        <w:pStyle w:val="31"/>
        <w:jc w:val="center"/>
        <w:rPr>
          <w:b/>
          <w:sz w:val="28"/>
        </w:rPr>
      </w:pPr>
      <w:bookmarkStart w:id="51" w:name="_Toc508032751"/>
      <w:bookmarkEnd w:id="51"/>
      <w:bookmarkStart w:id="52" w:name="_Toc42003704"/>
      <w:bookmarkEnd w:id="52"/>
      <w:r>
        <w:rPr>
          <w:b/>
          <w:sz w:val="28"/>
        </w:rPr>
        <w:t>第四章  投标文件的递交</w:t>
      </w:r>
    </w:p>
    <w:p>
      <w:pPr>
        <w:spacing w:line="360" w:lineRule="auto"/>
        <w:rPr>
          <w:b/>
          <w:sz w:val="24"/>
        </w:rPr>
      </w:pPr>
      <w:r>
        <w:rPr>
          <w:b/>
          <w:sz w:val="24"/>
        </w:rPr>
        <w:t>18</w:t>
      </w:r>
      <w:r>
        <w:rPr>
          <w:rFonts w:ascii="宋体" w:hAnsi="宋体"/>
          <w:b/>
          <w:sz w:val="24"/>
        </w:rPr>
        <w:t>、投标文件的密封和标记</w:t>
      </w:r>
    </w:p>
    <w:p>
      <w:pPr>
        <w:spacing w:line="360" w:lineRule="auto"/>
        <w:ind w:firstLine="480"/>
        <w:rPr>
          <w:sz w:val="24"/>
        </w:rPr>
      </w:pPr>
      <w:r>
        <w:rPr>
          <w:sz w:val="24"/>
        </w:rPr>
        <w:t xml:space="preserve">18.1 </w:t>
      </w:r>
      <w:r>
        <w:rPr>
          <w:rFonts w:ascii="宋体" w:hAnsi="宋体"/>
          <w:sz w:val="24"/>
        </w:rPr>
        <w:t>商务文件与技术文件正本的标识与签署：</w:t>
      </w:r>
    </w:p>
    <w:p>
      <w:pPr>
        <w:spacing w:line="360" w:lineRule="auto"/>
        <w:ind w:firstLine="480"/>
        <w:rPr>
          <w:rFonts w:ascii="宋体" w:hAnsi="宋体"/>
          <w:bCs/>
          <w:sz w:val="24"/>
        </w:rPr>
      </w:pPr>
      <w:r>
        <w:rPr>
          <w:bCs/>
          <w:sz w:val="24"/>
        </w:rPr>
        <w:t>1</w:t>
      </w:r>
      <w:r>
        <w:rPr>
          <w:rFonts w:hint="eastAsia" w:ascii="宋体" w:hAnsi="宋体"/>
          <w:bCs/>
          <w:sz w:val="24"/>
        </w:rPr>
        <w:t>8.1.1</w:t>
      </w:r>
      <w:r>
        <w:rPr>
          <w:rFonts w:ascii="宋体" w:hAnsi="宋体"/>
          <w:bCs/>
          <w:sz w:val="24"/>
        </w:rPr>
        <w:t>标书封面标识：商务</w:t>
      </w:r>
      <w:r>
        <w:rPr>
          <w:rFonts w:hint="eastAsia" w:ascii="宋体" w:hAnsi="宋体"/>
          <w:bCs/>
          <w:sz w:val="24"/>
        </w:rPr>
        <w:t>标</w:t>
      </w:r>
      <w:r>
        <w:rPr>
          <w:rFonts w:ascii="宋体" w:hAnsi="宋体"/>
          <w:bCs/>
          <w:sz w:val="24"/>
        </w:rPr>
        <w:t>（正本、副本）</w:t>
      </w:r>
      <w:r>
        <w:rPr>
          <w:rFonts w:hint="eastAsia" w:ascii="宋体" w:hAnsi="宋体"/>
          <w:bCs/>
          <w:sz w:val="24"/>
          <w:lang w:eastAsia="zh-CN"/>
        </w:rPr>
        <w:t>、价格标</w:t>
      </w:r>
      <w:r>
        <w:rPr>
          <w:rFonts w:ascii="宋体" w:hAnsi="宋体"/>
          <w:bCs/>
          <w:sz w:val="24"/>
        </w:rPr>
        <w:t>（正本、副本）与技术</w:t>
      </w:r>
      <w:r>
        <w:rPr>
          <w:rFonts w:hint="eastAsia" w:ascii="宋体" w:hAnsi="宋体"/>
          <w:bCs/>
          <w:sz w:val="24"/>
        </w:rPr>
        <w:t>标</w:t>
      </w:r>
      <w:r>
        <w:rPr>
          <w:rFonts w:ascii="宋体" w:hAnsi="宋体"/>
          <w:bCs/>
          <w:sz w:val="24"/>
        </w:rPr>
        <w:t>（正本、副本）封面左上角应分别标明“商务标正本”、“商务标副本”、</w:t>
      </w:r>
      <w:r>
        <w:rPr>
          <w:rFonts w:hint="eastAsia" w:ascii="宋体" w:hAnsi="宋体"/>
          <w:bCs/>
          <w:sz w:val="24"/>
          <w:lang w:eastAsia="zh-CN"/>
        </w:rPr>
        <w:t>”价格标</w:t>
      </w:r>
      <w:r>
        <w:rPr>
          <w:rFonts w:ascii="宋体" w:hAnsi="宋体"/>
          <w:bCs/>
          <w:sz w:val="24"/>
        </w:rPr>
        <w:t>正本</w:t>
      </w:r>
      <w:r>
        <w:rPr>
          <w:rFonts w:hint="eastAsia" w:ascii="宋体" w:hAnsi="宋体"/>
          <w:bCs/>
          <w:sz w:val="24"/>
          <w:lang w:eastAsia="zh-CN"/>
        </w:rPr>
        <w:t>”、价格标副</w:t>
      </w:r>
      <w:r>
        <w:rPr>
          <w:rFonts w:ascii="宋体" w:hAnsi="宋体"/>
          <w:bCs/>
          <w:sz w:val="24"/>
        </w:rPr>
        <w:t>本</w:t>
      </w:r>
      <w:r>
        <w:rPr>
          <w:rFonts w:hint="eastAsia" w:ascii="宋体" w:hAnsi="宋体"/>
          <w:bCs/>
          <w:sz w:val="24"/>
          <w:lang w:eastAsia="zh-CN"/>
        </w:rPr>
        <w:t>”、</w:t>
      </w:r>
      <w:r>
        <w:rPr>
          <w:rFonts w:ascii="宋体" w:hAnsi="宋体"/>
          <w:bCs/>
          <w:sz w:val="24"/>
        </w:rPr>
        <w:t>“技术标正本”、“技术标副本”字样，显著位置写明：某某投标文件</w:t>
      </w:r>
      <w:r>
        <w:rPr>
          <w:rFonts w:hint="eastAsia" w:ascii="宋体" w:hAnsi="宋体"/>
          <w:bCs/>
          <w:sz w:val="24"/>
        </w:rPr>
        <w:t>（含采购包号）</w:t>
      </w:r>
      <w:r>
        <w:rPr>
          <w:rFonts w:ascii="宋体" w:hAnsi="宋体"/>
          <w:bCs/>
          <w:sz w:val="24"/>
        </w:rPr>
        <w:t>、投标人全称、法人代表姓名、授权代表姓名、投标日期等。</w:t>
      </w:r>
    </w:p>
    <w:p>
      <w:pPr>
        <w:spacing w:line="360" w:lineRule="auto"/>
        <w:ind w:firstLine="480"/>
        <w:rPr>
          <w:bCs/>
          <w:sz w:val="24"/>
        </w:rPr>
      </w:pPr>
      <w:r>
        <w:rPr>
          <w:rFonts w:hint="eastAsia" w:ascii="宋体" w:hAnsi="宋体"/>
          <w:bCs/>
          <w:sz w:val="24"/>
        </w:rPr>
        <w:t>18.1.2</w:t>
      </w:r>
      <w:r>
        <w:rPr>
          <w:rFonts w:ascii="宋体" w:hAnsi="宋体"/>
          <w:bCs/>
          <w:sz w:val="24"/>
        </w:rPr>
        <w:t>内文及标书封面的签署：商务标（正本、副本）</w:t>
      </w:r>
      <w:r>
        <w:rPr>
          <w:rFonts w:hint="eastAsia" w:ascii="宋体" w:hAnsi="宋体"/>
          <w:bCs/>
          <w:sz w:val="24"/>
          <w:lang w:eastAsia="zh-CN"/>
        </w:rPr>
        <w:t>、价格</w:t>
      </w:r>
      <w:r>
        <w:rPr>
          <w:rFonts w:ascii="宋体" w:hAnsi="宋体"/>
          <w:bCs/>
          <w:sz w:val="24"/>
        </w:rPr>
        <w:t>标（正本、副本）与技术标（正本、副本）封面应由投标法人代表签字或盖章，封面加盖法人（单位）章。内文按照</w:t>
      </w:r>
      <w:r>
        <w:rPr>
          <w:rFonts w:hint="eastAsia" w:ascii="宋体" w:hAnsi="宋体"/>
          <w:bCs/>
          <w:sz w:val="24"/>
        </w:rPr>
        <w:t>招标文件</w:t>
      </w:r>
      <w:r>
        <w:rPr>
          <w:rFonts w:ascii="宋体" w:hAnsi="宋体"/>
          <w:bCs/>
          <w:sz w:val="24"/>
        </w:rPr>
        <w:t>要求签署。</w:t>
      </w:r>
    </w:p>
    <w:p>
      <w:pPr>
        <w:spacing w:line="360" w:lineRule="auto"/>
        <w:ind w:firstLine="480"/>
        <w:rPr>
          <w:bCs/>
          <w:sz w:val="24"/>
        </w:rPr>
      </w:pPr>
      <w:r>
        <w:rPr>
          <w:bCs/>
          <w:sz w:val="24"/>
        </w:rPr>
        <w:t>18.1.3</w:t>
      </w:r>
      <w:r>
        <w:rPr>
          <w:rFonts w:ascii="宋体" w:hAnsi="宋体"/>
          <w:sz w:val="24"/>
        </w:rPr>
        <w:t>除投标人对错处作必要修改外，投标文件中不许有加行、涂抹或改写。若有修改须由签署投标文件的人进行签字。</w:t>
      </w:r>
    </w:p>
    <w:p>
      <w:pPr>
        <w:spacing w:line="360" w:lineRule="auto"/>
        <w:ind w:firstLine="480"/>
        <w:rPr>
          <w:sz w:val="24"/>
        </w:rPr>
      </w:pPr>
      <w:r>
        <w:rPr>
          <w:sz w:val="24"/>
        </w:rPr>
        <w:t xml:space="preserve">18.2 </w:t>
      </w:r>
      <w:r>
        <w:rPr>
          <w:rFonts w:ascii="宋体" w:hAnsi="宋体"/>
          <w:sz w:val="24"/>
        </w:rPr>
        <w:t>密封</w:t>
      </w:r>
    </w:p>
    <w:p>
      <w:pPr>
        <w:spacing w:line="360" w:lineRule="auto"/>
        <w:ind w:firstLine="480"/>
        <w:rPr>
          <w:bCs/>
          <w:sz w:val="24"/>
        </w:rPr>
      </w:pPr>
      <w:r>
        <w:rPr>
          <w:bCs/>
          <w:sz w:val="24"/>
        </w:rPr>
        <w:t>18.2.1</w:t>
      </w:r>
      <w:r>
        <w:rPr>
          <w:rFonts w:ascii="宋体" w:hAnsi="宋体"/>
          <w:bCs/>
          <w:sz w:val="24"/>
        </w:rPr>
        <w:t>分装：投标人应提交</w:t>
      </w:r>
      <w:r>
        <w:rPr>
          <w:rFonts w:hint="eastAsia" w:ascii="宋体" w:hAnsi="宋体"/>
          <w:bCs/>
          <w:sz w:val="24"/>
        </w:rPr>
        <w:t>四</w:t>
      </w:r>
      <w:r>
        <w:rPr>
          <w:rFonts w:ascii="宋体" w:hAnsi="宋体"/>
          <w:bCs/>
          <w:sz w:val="24"/>
        </w:rPr>
        <w:t>个不透明的密封件，分别装以下投标文件：</w:t>
      </w:r>
    </w:p>
    <w:p>
      <w:pPr>
        <w:spacing w:line="360" w:lineRule="auto"/>
        <w:ind w:left="480"/>
        <w:rPr>
          <w:bCs/>
          <w:sz w:val="24"/>
        </w:rPr>
      </w:pPr>
      <w:r>
        <w:rPr>
          <w:rFonts w:hint="eastAsia" w:ascii="宋体" w:hAnsi="宋体"/>
          <w:bCs/>
          <w:sz w:val="24"/>
        </w:rPr>
        <w:t>（一）</w:t>
      </w:r>
      <w:r>
        <w:rPr>
          <w:rFonts w:ascii="宋体" w:hAnsi="宋体"/>
          <w:bCs/>
          <w:sz w:val="24"/>
        </w:rPr>
        <w:t>商务标正本、副本；</w:t>
      </w:r>
    </w:p>
    <w:p>
      <w:pPr>
        <w:spacing w:line="360" w:lineRule="auto"/>
        <w:ind w:left="480"/>
        <w:rPr>
          <w:rFonts w:ascii="宋体" w:hAnsi="宋体"/>
          <w:bCs/>
          <w:sz w:val="24"/>
        </w:rPr>
      </w:pPr>
      <w:r>
        <w:rPr>
          <w:rFonts w:hint="eastAsia" w:ascii="宋体" w:hAnsi="宋体"/>
          <w:bCs/>
          <w:sz w:val="24"/>
        </w:rPr>
        <w:t>（二）报价</w:t>
      </w:r>
      <w:r>
        <w:rPr>
          <w:rFonts w:hint="eastAsia" w:ascii="宋体" w:hAnsi="宋体"/>
          <w:bCs/>
          <w:sz w:val="24"/>
          <w:lang w:eastAsia="zh-CN"/>
        </w:rPr>
        <w:t>标正本</w:t>
      </w:r>
      <w:r>
        <w:rPr>
          <w:rFonts w:ascii="宋体" w:hAnsi="宋体"/>
          <w:bCs/>
          <w:sz w:val="24"/>
        </w:rPr>
        <w:t>、副本</w:t>
      </w:r>
      <w:r>
        <w:rPr>
          <w:rFonts w:hint="eastAsia" w:ascii="宋体" w:hAnsi="宋体"/>
          <w:bCs/>
          <w:sz w:val="24"/>
          <w:lang w:eastAsia="zh-CN"/>
        </w:rPr>
        <w:t>；</w:t>
      </w:r>
    </w:p>
    <w:p>
      <w:pPr>
        <w:spacing w:line="360" w:lineRule="auto"/>
        <w:ind w:left="480"/>
        <w:rPr>
          <w:rFonts w:hint="eastAsia" w:ascii="宋体" w:hAnsi="宋体"/>
          <w:bCs/>
          <w:sz w:val="24"/>
          <w:lang w:val="en-US" w:eastAsia="zh-CN"/>
        </w:rPr>
      </w:pPr>
      <w:r>
        <w:rPr>
          <w:rFonts w:hint="eastAsia" w:ascii="宋体" w:hAnsi="宋体"/>
          <w:bCs/>
          <w:sz w:val="24"/>
          <w:lang w:val="en-US" w:eastAsia="zh-CN"/>
        </w:rPr>
        <w:t>（三）</w:t>
      </w:r>
      <w:r>
        <w:rPr>
          <w:rFonts w:ascii="宋体" w:hAnsi="宋体"/>
          <w:bCs/>
          <w:sz w:val="24"/>
        </w:rPr>
        <w:t>技术标正本、副本；</w:t>
      </w:r>
    </w:p>
    <w:p>
      <w:pPr>
        <w:spacing w:line="360" w:lineRule="auto"/>
        <w:ind w:left="480"/>
        <w:rPr>
          <w:rFonts w:hint="eastAsia" w:ascii="宋体" w:hAnsi="宋体"/>
          <w:bCs/>
          <w:sz w:val="24"/>
        </w:rPr>
      </w:pPr>
      <w:r>
        <w:rPr>
          <w:rFonts w:hint="eastAsia" w:ascii="宋体" w:hAnsi="宋体"/>
          <w:bCs/>
          <w:sz w:val="24"/>
        </w:rPr>
        <w:t>（四）电子文件（U盘1套）；</w:t>
      </w:r>
    </w:p>
    <w:p>
      <w:pPr>
        <w:spacing w:line="360" w:lineRule="auto"/>
        <w:ind w:left="480"/>
        <w:rPr>
          <w:rFonts w:ascii="宋体" w:hAnsi="宋体"/>
          <w:bCs/>
          <w:sz w:val="24"/>
        </w:rPr>
      </w:pPr>
      <w:r>
        <w:rPr>
          <w:rFonts w:hint="eastAsia" w:ascii="宋体" w:hAnsi="宋体"/>
          <w:bCs/>
          <w:sz w:val="24"/>
        </w:rPr>
        <w:t>（</w:t>
      </w:r>
      <w:r>
        <w:rPr>
          <w:rFonts w:hint="eastAsia" w:ascii="宋体" w:hAnsi="宋体"/>
          <w:bCs/>
          <w:sz w:val="24"/>
          <w:lang w:eastAsia="zh-CN"/>
        </w:rPr>
        <w:t>五</w:t>
      </w:r>
      <w:r>
        <w:rPr>
          <w:rFonts w:hint="eastAsia" w:ascii="宋体" w:hAnsi="宋体"/>
          <w:bCs/>
          <w:sz w:val="24"/>
        </w:rPr>
        <w:t>）开标一览表；</w:t>
      </w:r>
    </w:p>
    <w:p>
      <w:pPr>
        <w:spacing w:line="360" w:lineRule="auto"/>
        <w:ind w:firstLine="480"/>
        <w:rPr>
          <w:bCs/>
          <w:sz w:val="24"/>
        </w:rPr>
      </w:pPr>
      <w:r>
        <w:rPr>
          <w:sz w:val="24"/>
        </w:rPr>
        <w:t>18.2.2</w:t>
      </w:r>
      <w:r>
        <w:rPr>
          <w:rFonts w:ascii="宋体" w:hAnsi="宋体"/>
          <w:sz w:val="24"/>
        </w:rPr>
        <w:t>密封件的标识：密封件左上角分别标明</w:t>
      </w:r>
      <w:r>
        <w:rPr>
          <w:sz w:val="24"/>
        </w:rPr>
        <w:t>“</w:t>
      </w:r>
      <w:r>
        <w:rPr>
          <w:rFonts w:ascii="宋体" w:hAnsi="宋体"/>
          <w:sz w:val="24"/>
          <w:highlight w:val="yellow"/>
        </w:rPr>
        <w:t>商务标</w:t>
      </w:r>
      <w:r>
        <w:rPr>
          <w:sz w:val="24"/>
          <w:highlight w:val="yellow"/>
        </w:rPr>
        <w:t>”</w:t>
      </w:r>
      <w:r>
        <w:rPr>
          <w:rFonts w:ascii="宋体" w:hAnsi="宋体"/>
          <w:sz w:val="24"/>
          <w:highlight w:val="yellow"/>
        </w:rPr>
        <w:t>、</w:t>
      </w:r>
      <w:r>
        <w:rPr>
          <w:sz w:val="24"/>
        </w:rPr>
        <w:t>“</w:t>
      </w:r>
      <w:r>
        <w:rPr>
          <w:rFonts w:hint="eastAsia"/>
          <w:sz w:val="24"/>
          <w:lang w:eastAsia="zh-CN"/>
        </w:rPr>
        <w:t>价格</w:t>
      </w:r>
      <w:r>
        <w:rPr>
          <w:rFonts w:ascii="宋体" w:hAnsi="宋体"/>
          <w:sz w:val="24"/>
          <w:highlight w:val="yellow"/>
        </w:rPr>
        <w:t>标</w:t>
      </w:r>
      <w:r>
        <w:rPr>
          <w:sz w:val="24"/>
          <w:highlight w:val="yellow"/>
        </w:rPr>
        <w:t>”</w:t>
      </w:r>
      <w:r>
        <w:rPr>
          <w:rFonts w:hint="eastAsia"/>
          <w:sz w:val="24"/>
          <w:highlight w:val="yellow"/>
          <w:lang w:eastAsia="zh-CN"/>
        </w:rPr>
        <w:t>、</w:t>
      </w:r>
      <w:r>
        <w:rPr>
          <w:sz w:val="24"/>
          <w:highlight w:val="yellow"/>
        </w:rPr>
        <w:t>“</w:t>
      </w:r>
      <w:r>
        <w:rPr>
          <w:rFonts w:ascii="宋体" w:hAnsi="宋体"/>
          <w:sz w:val="24"/>
          <w:highlight w:val="yellow"/>
        </w:rPr>
        <w:t>技术标</w:t>
      </w:r>
      <w:r>
        <w:rPr>
          <w:sz w:val="24"/>
          <w:highlight w:val="yellow"/>
        </w:rPr>
        <w:t>”、“电子文件”</w:t>
      </w:r>
      <w:r>
        <w:rPr>
          <w:rFonts w:ascii="宋体" w:hAnsi="宋体"/>
          <w:sz w:val="24"/>
        </w:rPr>
        <w:t>，下方最后一行标明</w:t>
      </w:r>
      <w:r>
        <w:rPr>
          <w:sz w:val="24"/>
        </w:rPr>
        <w:t>“</w:t>
      </w:r>
      <w:r>
        <w:rPr>
          <w:rFonts w:ascii="宋体" w:hAnsi="宋体"/>
          <w:sz w:val="24"/>
        </w:rPr>
        <w:t>在投标截止时间之前不得启封</w:t>
      </w:r>
      <w:r>
        <w:rPr>
          <w:sz w:val="24"/>
        </w:rPr>
        <w:t>”</w:t>
      </w:r>
      <w:r>
        <w:rPr>
          <w:rFonts w:ascii="宋体" w:hAnsi="宋体"/>
          <w:sz w:val="24"/>
        </w:rPr>
        <w:t>，</w:t>
      </w:r>
      <w:r>
        <w:rPr>
          <w:rFonts w:ascii="宋体" w:hAnsi="宋体"/>
          <w:bCs/>
          <w:sz w:val="24"/>
        </w:rPr>
        <w:t>显著位置标明：某某投标文件</w:t>
      </w:r>
      <w:r>
        <w:rPr>
          <w:rFonts w:hint="eastAsia" w:ascii="宋体" w:hAnsi="宋体"/>
          <w:b/>
          <w:sz w:val="24"/>
        </w:rPr>
        <w:t>（含采购包号）</w:t>
      </w:r>
      <w:r>
        <w:rPr>
          <w:rFonts w:ascii="宋体" w:hAnsi="宋体"/>
          <w:bCs/>
          <w:sz w:val="24"/>
        </w:rPr>
        <w:t>、投标人全称、法人代表姓名、授权代表姓名、投标日期等。</w:t>
      </w:r>
    </w:p>
    <w:p>
      <w:pPr>
        <w:tabs>
          <w:tab w:val="left" w:pos="0"/>
        </w:tabs>
        <w:spacing w:line="360" w:lineRule="auto"/>
        <w:ind w:firstLine="480"/>
        <w:rPr>
          <w:rFonts w:ascii="宋体" w:hAnsi="宋体"/>
          <w:sz w:val="24"/>
        </w:rPr>
      </w:pPr>
      <w:r>
        <w:rPr>
          <w:sz w:val="24"/>
        </w:rPr>
        <w:t>18.2.3</w:t>
      </w:r>
      <w:r>
        <w:rPr>
          <w:rFonts w:ascii="宋体" w:hAnsi="宋体"/>
          <w:sz w:val="24"/>
        </w:rPr>
        <w:t>密封件的签署：密封件须由投标人法人代表或授权代表签字或盖章，同时加盖投标人公章。</w:t>
      </w:r>
    </w:p>
    <w:p>
      <w:pPr>
        <w:tabs>
          <w:tab w:val="left" w:pos="0"/>
        </w:tabs>
        <w:spacing w:line="360" w:lineRule="auto"/>
        <w:ind w:firstLine="480"/>
        <w:rPr>
          <w:sz w:val="24"/>
        </w:rPr>
      </w:pPr>
      <w:r>
        <w:rPr>
          <w:sz w:val="24"/>
        </w:rPr>
        <w:t xml:space="preserve">18.3 </w:t>
      </w:r>
      <w:r>
        <w:rPr>
          <w:b/>
          <w:sz w:val="24"/>
        </w:rPr>
        <w:t>为方便开标，投标人应将开标一览表单独提供一份放在一密封信封内，封皮上写明招标项目名称、投标方名称及在开标日期前“不准启封”的字样，并注明“开标一览表”字样。</w:t>
      </w:r>
    </w:p>
    <w:p>
      <w:pPr>
        <w:tabs>
          <w:tab w:val="left" w:pos="0"/>
        </w:tabs>
        <w:spacing w:line="360" w:lineRule="auto"/>
        <w:ind w:firstLine="480"/>
        <w:rPr>
          <w:sz w:val="24"/>
        </w:rPr>
      </w:pPr>
      <w:r>
        <w:rPr>
          <w:sz w:val="24"/>
        </w:rPr>
        <w:t>注：开标一览表应按规定密封标记单独提交，除单独密封外也应制作在投标文件中。</w:t>
      </w:r>
    </w:p>
    <w:p>
      <w:pPr>
        <w:tabs>
          <w:tab w:val="left" w:pos="0"/>
        </w:tabs>
        <w:spacing w:line="360" w:lineRule="auto"/>
        <w:ind w:firstLine="480"/>
        <w:rPr>
          <w:sz w:val="24"/>
        </w:rPr>
      </w:pPr>
      <w:r>
        <w:rPr>
          <w:sz w:val="24"/>
        </w:rPr>
        <w:t>18.4 如果投标文件未按18.1、18.2和18.3款规定密封和标记，招标单位对投标文件的误拆或提前拆封不负责任。对由此造成提前开封的投标书，招标单位有权予以拒绝，并退回投标人。</w:t>
      </w:r>
    </w:p>
    <w:p>
      <w:pPr>
        <w:spacing w:line="360" w:lineRule="auto"/>
        <w:rPr>
          <w:b/>
          <w:sz w:val="24"/>
        </w:rPr>
      </w:pPr>
      <w:r>
        <w:rPr>
          <w:b/>
          <w:sz w:val="24"/>
        </w:rPr>
        <w:t>19</w:t>
      </w:r>
      <w:r>
        <w:rPr>
          <w:rFonts w:ascii="宋体" w:hAnsi="宋体"/>
          <w:b/>
          <w:sz w:val="24"/>
        </w:rPr>
        <w:t>、递交投标文件的截止时间</w:t>
      </w:r>
    </w:p>
    <w:p>
      <w:pPr>
        <w:spacing w:line="360" w:lineRule="auto"/>
        <w:ind w:firstLine="570"/>
        <w:rPr>
          <w:sz w:val="24"/>
        </w:rPr>
      </w:pPr>
      <w:r>
        <w:rPr>
          <w:sz w:val="24"/>
        </w:rPr>
        <w:t xml:space="preserve">19.1 </w:t>
      </w:r>
      <w:r>
        <w:rPr>
          <w:rFonts w:ascii="宋体" w:hAnsi="宋体"/>
          <w:sz w:val="24"/>
        </w:rPr>
        <w:t>所有投标文件必须在</w:t>
      </w:r>
      <w:r>
        <w:rPr>
          <w:rFonts w:hint="eastAsia" w:ascii="宋体" w:hAnsi="宋体"/>
          <w:sz w:val="24"/>
        </w:rPr>
        <w:t>招标文件</w:t>
      </w:r>
      <w:r>
        <w:rPr>
          <w:rFonts w:ascii="宋体" w:hAnsi="宋体"/>
          <w:sz w:val="24"/>
        </w:rPr>
        <w:t>中规定的时间内递交。</w:t>
      </w:r>
    </w:p>
    <w:p>
      <w:pPr>
        <w:spacing w:line="360" w:lineRule="auto"/>
        <w:rPr>
          <w:b/>
          <w:sz w:val="24"/>
        </w:rPr>
      </w:pPr>
      <w:r>
        <w:rPr>
          <w:b/>
          <w:sz w:val="24"/>
        </w:rPr>
        <w:t>20</w:t>
      </w:r>
      <w:r>
        <w:rPr>
          <w:rFonts w:ascii="宋体" w:hAnsi="宋体"/>
          <w:b/>
          <w:sz w:val="24"/>
        </w:rPr>
        <w:t>、迟交的投标文件</w:t>
      </w:r>
    </w:p>
    <w:p>
      <w:pPr>
        <w:spacing w:line="360" w:lineRule="auto"/>
        <w:ind w:firstLine="570"/>
        <w:rPr>
          <w:sz w:val="24"/>
        </w:rPr>
      </w:pPr>
      <w:r>
        <w:rPr>
          <w:sz w:val="24"/>
        </w:rPr>
        <w:t xml:space="preserve">20.1 </w:t>
      </w:r>
      <w:r>
        <w:rPr>
          <w:rFonts w:ascii="宋体" w:hAnsi="宋体"/>
          <w:sz w:val="24"/>
        </w:rPr>
        <w:t>招标单位拒绝在递交投标文件的截止时间后递交的投标文件。</w:t>
      </w:r>
    </w:p>
    <w:p>
      <w:pPr>
        <w:spacing w:line="360" w:lineRule="auto"/>
        <w:rPr>
          <w:b/>
          <w:sz w:val="24"/>
        </w:rPr>
      </w:pPr>
      <w:r>
        <w:rPr>
          <w:b/>
          <w:sz w:val="24"/>
        </w:rPr>
        <w:t>21</w:t>
      </w:r>
      <w:r>
        <w:rPr>
          <w:rFonts w:ascii="宋体" w:hAnsi="宋体"/>
          <w:b/>
          <w:sz w:val="24"/>
        </w:rPr>
        <w:t>、投标文件的修改和撤销</w:t>
      </w:r>
    </w:p>
    <w:p>
      <w:pPr>
        <w:spacing w:line="360" w:lineRule="auto"/>
        <w:ind w:firstLine="570"/>
        <w:rPr>
          <w:sz w:val="24"/>
        </w:rPr>
      </w:pPr>
      <w:r>
        <w:rPr>
          <w:sz w:val="24"/>
        </w:rPr>
        <w:t xml:space="preserve">21.1 </w:t>
      </w:r>
      <w:r>
        <w:rPr>
          <w:rFonts w:ascii="宋体" w:hAnsi="宋体"/>
          <w:sz w:val="24"/>
        </w:rPr>
        <w:t>投标人在提交投标文件后可对其投标文件进行修改或撤销，但招标单位须在投标截止时间前收到该修改或撤销的书面通知。</w:t>
      </w:r>
    </w:p>
    <w:p>
      <w:pPr>
        <w:spacing w:line="360" w:lineRule="auto"/>
        <w:ind w:firstLine="570"/>
        <w:rPr>
          <w:sz w:val="24"/>
        </w:rPr>
      </w:pPr>
      <w:r>
        <w:rPr>
          <w:sz w:val="24"/>
        </w:rPr>
        <w:t xml:space="preserve">21.2 </w:t>
      </w:r>
      <w:r>
        <w:rPr>
          <w:rFonts w:ascii="宋体" w:hAnsi="宋体"/>
          <w:sz w:val="24"/>
        </w:rPr>
        <w:t>标人对投标文件的修改或撤销的通知应按第</w:t>
      </w:r>
      <w:r>
        <w:rPr>
          <w:sz w:val="24"/>
        </w:rPr>
        <w:t>16</w:t>
      </w:r>
      <w:r>
        <w:rPr>
          <w:rFonts w:ascii="宋体" w:hAnsi="宋体"/>
          <w:sz w:val="24"/>
        </w:rPr>
        <w:t>、</w:t>
      </w:r>
      <w:r>
        <w:rPr>
          <w:sz w:val="24"/>
        </w:rPr>
        <w:t>17</w:t>
      </w:r>
      <w:r>
        <w:rPr>
          <w:rFonts w:ascii="宋体" w:hAnsi="宋体"/>
          <w:sz w:val="24"/>
        </w:rPr>
        <w:t>和</w:t>
      </w:r>
      <w:r>
        <w:rPr>
          <w:sz w:val="24"/>
        </w:rPr>
        <w:t>18</w:t>
      </w:r>
      <w:r>
        <w:rPr>
          <w:rFonts w:ascii="宋体" w:hAnsi="宋体"/>
          <w:sz w:val="24"/>
        </w:rPr>
        <w:t>条规定进行准备、密封、标注和递送。</w:t>
      </w:r>
    </w:p>
    <w:p>
      <w:pPr>
        <w:spacing w:line="360" w:lineRule="auto"/>
        <w:ind w:firstLine="570"/>
        <w:rPr>
          <w:sz w:val="24"/>
        </w:rPr>
      </w:pPr>
      <w:r>
        <w:rPr>
          <w:sz w:val="24"/>
        </w:rPr>
        <w:t xml:space="preserve">21.3 </w:t>
      </w:r>
      <w:r>
        <w:rPr>
          <w:rFonts w:ascii="宋体" w:hAnsi="宋体"/>
          <w:sz w:val="24"/>
        </w:rPr>
        <w:t>投标人不得在投标截止时间起至投标文件有效期期满前撤销投标文件。</w:t>
      </w:r>
    </w:p>
    <w:p>
      <w:pPr>
        <w:pStyle w:val="31"/>
        <w:jc w:val="center"/>
        <w:rPr>
          <w:b/>
          <w:sz w:val="28"/>
        </w:rPr>
      </w:pPr>
      <w:bookmarkStart w:id="53" w:name="_Toc42003705"/>
      <w:bookmarkEnd w:id="53"/>
      <w:bookmarkStart w:id="54" w:name="_Toc508032752"/>
      <w:bookmarkEnd w:id="54"/>
      <w:r>
        <w:rPr>
          <w:b/>
          <w:sz w:val="28"/>
        </w:rPr>
        <w:t>第五章  开  标</w:t>
      </w:r>
    </w:p>
    <w:p>
      <w:pPr>
        <w:spacing w:line="360" w:lineRule="auto"/>
        <w:rPr>
          <w:rFonts w:ascii="宋体" w:hAnsi="宋体"/>
          <w:b/>
          <w:sz w:val="24"/>
        </w:rPr>
      </w:pPr>
      <w:r>
        <w:rPr>
          <w:b/>
          <w:sz w:val="24"/>
        </w:rPr>
        <w:t>22</w:t>
      </w:r>
      <w:r>
        <w:rPr>
          <w:rFonts w:ascii="宋体" w:hAnsi="宋体"/>
          <w:b/>
          <w:sz w:val="24"/>
        </w:rPr>
        <w:t>、开标</w:t>
      </w:r>
    </w:p>
    <w:p>
      <w:pPr>
        <w:spacing w:line="460" w:lineRule="exact"/>
        <w:ind w:left="210" w:leftChars="100" w:firstLine="240" w:firstLineChars="100"/>
        <w:rPr>
          <w:rFonts w:ascii="宋体" w:hAnsi="宋体"/>
          <w:sz w:val="24"/>
        </w:rPr>
      </w:pPr>
      <w:r>
        <w:rPr>
          <w:rFonts w:ascii="宋体" w:hAnsi="宋体"/>
          <w:sz w:val="24"/>
        </w:rPr>
        <w:t>22.1招标人在按本招标文件“</w:t>
      </w:r>
      <w:r>
        <w:rPr>
          <w:rFonts w:hint="eastAsia" w:ascii="宋体" w:hAnsi="宋体"/>
          <w:sz w:val="24"/>
        </w:rPr>
        <w:t>招标</w:t>
      </w:r>
      <w:r>
        <w:rPr>
          <w:rFonts w:ascii="宋体" w:hAnsi="宋体"/>
          <w:sz w:val="24"/>
        </w:rPr>
        <w:t>公告”中规定的截止时间和地址进行公开开标。</w:t>
      </w:r>
    </w:p>
    <w:p>
      <w:pPr>
        <w:spacing w:line="460" w:lineRule="exact"/>
        <w:ind w:left="210" w:leftChars="100" w:firstLine="240" w:firstLineChars="100"/>
        <w:rPr>
          <w:rFonts w:ascii="宋体" w:hAnsi="宋体"/>
          <w:sz w:val="24"/>
        </w:rPr>
      </w:pPr>
      <w:r>
        <w:rPr>
          <w:rFonts w:ascii="宋体" w:hAnsi="宋体"/>
          <w:sz w:val="24"/>
        </w:rPr>
        <w:t>22.2开标时查验投标文件密封情况，确认无误后拆封唱标。</w:t>
      </w:r>
    </w:p>
    <w:p>
      <w:pPr>
        <w:spacing w:line="460" w:lineRule="exact"/>
        <w:ind w:left="210" w:leftChars="100" w:firstLine="240" w:firstLineChars="100"/>
        <w:rPr>
          <w:rFonts w:ascii="宋体" w:hAnsi="宋体"/>
          <w:sz w:val="24"/>
        </w:rPr>
      </w:pPr>
      <w:r>
        <w:rPr>
          <w:rFonts w:ascii="宋体" w:hAnsi="宋体"/>
          <w:sz w:val="24"/>
        </w:rPr>
        <w:t>22.3开标时，招标人或招标机构将宣读投标人名称、投标总价以及认为合适的其他内容。</w:t>
      </w:r>
    </w:p>
    <w:p>
      <w:pPr>
        <w:spacing w:line="460" w:lineRule="exact"/>
        <w:ind w:left="210" w:leftChars="100" w:firstLine="240" w:firstLineChars="100"/>
        <w:rPr>
          <w:rFonts w:ascii="宋体" w:hAnsi="宋体"/>
          <w:sz w:val="24"/>
        </w:rPr>
      </w:pPr>
      <w:bookmarkStart w:id="55" w:name="_Toc286758332"/>
      <w:r>
        <w:rPr>
          <w:rFonts w:ascii="宋体" w:hAnsi="宋体"/>
          <w:sz w:val="24"/>
        </w:rPr>
        <w:t>22.4只有开标时唱出的投标声明，在评标时才予以考虑。在开标时没有宣读的投标文件，在评标时将不予考虑。</w:t>
      </w:r>
      <w:bookmarkEnd w:id="55"/>
    </w:p>
    <w:p>
      <w:pPr>
        <w:spacing w:line="360" w:lineRule="auto"/>
        <w:rPr>
          <w:b/>
          <w:sz w:val="24"/>
        </w:rPr>
      </w:pPr>
    </w:p>
    <w:p>
      <w:pPr>
        <w:spacing w:line="360" w:lineRule="auto"/>
        <w:ind w:firstLine="482"/>
        <w:jc w:val="center"/>
        <w:rPr>
          <w:rFonts w:ascii="宋体" w:hAnsi="宋体"/>
          <w:b/>
          <w:sz w:val="28"/>
        </w:rPr>
      </w:pPr>
      <w:r>
        <w:rPr>
          <w:b/>
          <w:sz w:val="28"/>
        </w:rPr>
        <w:t>第六章  投标文件的审查和评估</w:t>
      </w:r>
    </w:p>
    <w:p>
      <w:pPr>
        <w:spacing w:line="360" w:lineRule="auto"/>
        <w:rPr>
          <w:b/>
          <w:sz w:val="24"/>
        </w:rPr>
      </w:pPr>
      <w:r>
        <w:rPr>
          <w:b/>
          <w:sz w:val="24"/>
        </w:rPr>
        <w:t>23</w:t>
      </w:r>
      <w:r>
        <w:rPr>
          <w:rFonts w:ascii="宋体" w:hAnsi="宋体"/>
          <w:b/>
          <w:sz w:val="24"/>
        </w:rPr>
        <w:t>、对投标文件的审查和响应性的确定</w:t>
      </w:r>
    </w:p>
    <w:p>
      <w:pPr>
        <w:spacing w:line="360" w:lineRule="auto"/>
        <w:ind w:firstLine="480"/>
        <w:rPr>
          <w:sz w:val="24"/>
        </w:rPr>
      </w:pPr>
      <w:r>
        <w:rPr>
          <w:sz w:val="24"/>
        </w:rPr>
        <w:t xml:space="preserve">23.1 </w:t>
      </w:r>
      <w:r>
        <w:rPr>
          <w:rFonts w:ascii="宋体" w:hAnsi="宋体"/>
          <w:sz w:val="24"/>
        </w:rPr>
        <w:t>细微偏差与澄清</w:t>
      </w:r>
    </w:p>
    <w:p>
      <w:pPr>
        <w:spacing w:line="360" w:lineRule="auto"/>
        <w:ind w:firstLine="480"/>
        <w:rPr>
          <w:sz w:val="24"/>
        </w:rPr>
      </w:pPr>
      <w:r>
        <w:rPr>
          <w:sz w:val="24"/>
        </w:rPr>
        <w:t>23.1.1</w:t>
      </w:r>
      <w:r>
        <w:rPr>
          <w:rFonts w:ascii="宋体" w:hAnsi="宋体"/>
          <w:sz w:val="24"/>
        </w:rPr>
        <w:t>评标时，发现投标文件的内容有信息不完整、含义不明确、表述不一致或明显打字（书写）错误、个别计算上的错误情形，以确认其正确内容。澄清应符合以下要求：</w:t>
      </w:r>
    </w:p>
    <w:p>
      <w:pPr>
        <w:spacing w:line="360" w:lineRule="auto"/>
        <w:ind w:firstLine="480"/>
        <w:rPr>
          <w:sz w:val="24"/>
        </w:rPr>
      </w:pPr>
      <w:r>
        <w:rPr>
          <w:sz w:val="24"/>
        </w:rPr>
        <w:t>（一）</w:t>
      </w:r>
      <w:r>
        <w:rPr>
          <w:rFonts w:ascii="宋体" w:hAnsi="宋体"/>
          <w:sz w:val="24"/>
        </w:rPr>
        <w:t>信息不完整的澄清：</w:t>
      </w:r>
    </w:p>
    <w:p>
      <w:pPr>
        <w:spacing w:line="360" w:lineRule="auto"/>
        <w:rPr>
          <w:sz w:val="24"/>
        </w:rPr>
      </w:pPr>
      <w:r>
        <w:rPr>
          <w:rFonts w:hint="eastAsia" w:ascii="宋体" w:hAnsi="宋体"/>
          <w:sz w:val="24"/>
        </w:rPr>
        <w:t xml:space="preserve">    （1）</w:t>
      </w:r>
      <w:r>
        <w:rPr>
          <w:rFonts w:ascii="宋体" w:hAnsi="宋体"/>
          <w:sz w:val="24"/>
        </w:rPr>
        <w:t>复印件缺半数以下少数页的，依据原件澄清，并要求投标人对缺页部分进行补正；</w:t>
      </w:r>
    </w:p>
    <w:p>
      <w:pPr>
        <w:spacing w:line="360" w:lineRule="auto"/>
        <w:rPr>
          <w:sz w:val="24"/>
        </w:rPr>
      </w:pPr>
      <w:r>
        <w:rPr>
          <w:rFonts w:hint="eastAsia" w:ascii="宋体" w:hAnsi="宋体"/>
          <w:sz w:val="24"/>
        </w:rPr>
        <w:t xml:space="preserve">    （2）</w:t>
      </w:r>
      <w:r>
        <w:rPr>
          <w:rFonts w:ascii="宋体" w:hAnsi="宋体"/>
          <w:sz w:val="24"/>
        </w:rPr>
        <w:t>表述不完整的，按上下文原意澄清，并要求投标人进行完整表述；</w:t>
      </w:r>
    </w:p>
    <w:p>
      <w:pPr>
        <w:spacing w:line="360" w:lineRule="auto"/>
        <w:ind w:firstLine="480"/>
        <w:rPr>
          <w:sz w:val="24"/>
        </w:rPr>
      </w:pPr>
      <w:r>
        <w:rPr>
          <w:sz w:val="24"/>
        </w:rPr>
        <w:t>（二）</w:t>
      </w:r>
      <w:r>
        <w:rPr>
          <w:rFonts w:ascii="宋体" w:hAnsi="宋体"/>
          <w:sz w:val="24"/>
        </w:rPr>
        <w:t>含义不明确的澄清仅限于投标人对投标文件的解释，表述不一致的澄清：仅限于投标人采取其中一种表述；</w:t>
      </w:r>
    </w:p>
    <w:p>
      <w:pPr>
        <w:spacing w:line="360" w:lineRule="auto"/>
        <w:ind w:firstLine="480"/>
        <w:rPr>
          <w:sz w:val="24"/>
        </w:rPr>
      </w:pPr>
      <w:r>
        <w:rPr>
          <w:sz w:val="24"/>
        </w:rPr>
        <w:t>（三）</w:t>
      </w:r>
      <w:r>
        <w:rPr>
          <w:rFonts w:ascii="宋体" w:hAnsi="宋体"/>
          <w:sz w:val="24"/>
        </w:rPr>
        <w:t>明显打字（书写）错误、个别计算上错误的澄清：大写金额与小写金额不一致的，以大写金额为准，总价金额与单价金额不一致的，以单价金额为准，但单价金额小数点明显错位的除外。单价金额因小数点错位导致总价与单价不一致的，以总价为准。分项报价与合价不一致的，以分项报价为准；</w:t>
      </w:r>
    </w:p>
    <w:p>
      <w:pPr>
        <w:spacing w:line="360" w:lineRule="auto"/>
        <w:ind w:firstLine="480"/>
        <w:rPr>
          <w:strike w:val="0"/>
          <w:dstrike w:val="0"/>
          <w:sz w:val="24"/>
          <w:highlight w:val="none"/>
        </w:rPr>
      </w:pPr>
      <w:r>
        <w:rPr>
          <w:strike w:val="0"/>
          <w:dstrike w:val="0"/>
          <w:sz w:val="24"/>
          <w:highlight w:val="none"/>
        </w:rPr>
        <w:t>（四）</w:t>
      </w:r>
      <w:r>
        <w:rPr>
          <w:rFonts w:ascii="宋体" w:hAnsi="宋体"/>
          <w:strike w:val="0"/>
          <w:dstrike w:val="0"/>
          <w:sz w:val="24"/>
          <w:highlight w:val="none"/>
        </w:rPr>
        <w:t>唱标信息与未唱标信息不一致的，以唱标信息为准。</w:t>
      </w:r>
    </w:p>
    <w:p>
      <w:pPr>
        <w:spacing w:line="360" w:lineRule="auto"/>
        <w:ind w:firstLine="480"/>
        <w:rPr>
          <w:sz w:val="24"/>
        </w:rPr>
      </w:pPr>
      <w:r>
        <w:rPr>
          <w:sz w:val="24"/>
        </w:rPr>
        <w:t>23.1.2</w:t>
      </w:r>
      <w:r>
        <w:rPr>
          <w:rFonts w:ascii="宋体" w:hAnsi="宋体"/>
          <w:sz w:val="24"/>
        </w:rPr>
        <w:t>澄清的要求和投标人的答复均应采取书面的形式。投标人的答复必须经法定代表人或授权代理人签字，作为投标文件的组成部分。</w:t>
      </w:r>
    </w:p>
    <w:p>
      <w:pPr>
        <w:spacing w:line="360" w:lineRule="auto"/>
        <w:ind w:firstLine="480"/>
        <w:rPr>
          <w:rFonts w:ascii="宋体" w:hAnsi="宋体"/>
          <w:sz w:val="24"/>
        </w:rPr>
      </w:pPr>
      <w:r>
        <w:rPr>
          <w:sz w:val="24"/>
        </w:rPr>
        <w:t>23.1.3</w:t>
      </w:r>
      <w:r>
        <w:rPr>
          <w:rFonts w:ascii="宋体" w:hAnsi="宋体"/>
          <w:sz w:val="24"/>
        </w:rPr>
        <w:t>为满足评标</w:t>
      </w:r>
      <w:r>
        <w:rPr>
          <w:rFonts w:hint="eastAsia" w:ascii="宋体" w:hAnsi="宋体"/>
          <w:sz w:val="24"/>
        </w:rPr>
        <w:t>小组</w:t>
      </w:r>
      <w:r>
        <w:rPr>
          <w:rFonts w:ascii="宋体" w:hAnsi="宋体"/>
          <w:sz w:val="24"/>
        </w:rPr>
        <w:t>的澄清需要，投标人代表应保持</w:t>
      </w:r>
      <w:r>
        <w:rPr>
          <w:sz w:val="24"/>
        </w:rPr>
        <w:t>12</w:t>
      </w:r>
      <w:r>
        <w:rPr>
          <w:rFonts w:ascii="宋体" w:hAnsi="宋体"/>
          <w:sz w:val="24"/>
        </w:rPr>
        <w:t>小时开机，确保随时能联系得上。</w:t>
      </w:r>
    </w:p>
    <w:p>
      <w:pPr>
        <w:spacing w:line="360" w:lineRule="auto"/>
        <w:ind w:firstLine="480"/>
        <w:rPr>
          <w:sz w:val="24"/>
        </w:rPr>
      </w:pPr>
      <w:r>
        <w:rPr>
          <w:sz w:val="24"/>
        </w:rPr>
        <w:t xml:space="preserve">23.2 </w:t>
      </w:r>
      <w:r>
        <w:rPr>
          <w:rFonts w:ascii="宋体" w:hAnsi="宋体"/>
          <w:sz w:val="24"/>
        </w:rPr>
        <w:t>重大偏差与自动放弃投标、废标、拒绝投标</w:t>
      </w:r>
    </w:p>
    <w:p>
      <w:pPr>
        <w:spacing w:line="360" w:lineRule="auto"/>
        <w:ind w:firstLine="480"/>
        <w:rPr>
          <w:b/>
          <w:sz w:val="24"/>
        </w:rPr>
      </w:pPr>
      <w:r>
        <w:rPr>
          <w:rFonts w:ascii="宋体" w:hAnsi="宋体"/>
          <w:sz w:val="24"/>
        </w:rPr>
        <w:t>未能在实质上响应的投标，视为自动放弃投标或按废标处理。</w:t>
      </w:r>
    </w:p>
    <w:p>
      <w:pPr>
        <w:spacing w:line="360" w:lineRule="auto"/>
        <w:ind w:left="480"/>
        <w:rPr>
          <w:rFonts w:ascii="宋体" w:hAnsi="宋体"/>
          <w:sz w:val="24"/>
        </w:rPr>
      </w:pPr>
      <w:r>
        <w:rPr>
          <w:rFonts w:hint="eastAsia" w:ascii="宋体" w:hAnsi="宋体"/>
          <w:sz w:val="24"/>
        </w:rPr>
        <w:t>23.2.1</w:t>
      </w:r>
      <w:r>
        <w:rPr>
          <w:rFonts w:ascii="宋体" w:hAnsi="宋体"/>
          <w:sz w:val="24"/>
        </w:rPr>
        <w:t>投标人有下列情形之一，视为自动放弃投标</w:t>
      </w:r>
    </w:p>
    <w:p>
      <w:pPr>
        <w:spacing w:line="360" w:lineRule="auto"/>
        <w:ind w:firstLine="600"/>
        <w:rPr>
          <w:rFonts w:ascii="宋体" w:hAnsi="宋体"/>
          <w:sz w:val="24"/>
        </w:rPr>
      </w:pPr>
      <w:r>
        <w:rPr>
          <w:rFonts w:hint="eastAsia" w:ascii="宋体" w:hAnsi="宋体"/>
          <w:sz w:val="24"/>
        </w:rPr>
        <w:t>(1)</w:t>
      </w:r>
      <w:r>
        <w:rPr>
          <w:rFonts w:ascii="宋体" w:hAnsi="宋体"/>
          <w:sz w:val="24"/>
        </w:rPr>
        <w:t>投标人未在投标截止时间前将投标文件送到指定地点的；</w:t>
      </w:r>
    </w:p>
    <w:p>
      <w:pPr>
        <w:spacing w:line="360" w:lineRule="auto"/>
        <w:ind w:firstLine="600"/>
        <w:rPr>
          <w:rFonts w:ascii="宋体" w:hAnsi="宋体"/>
          <w:sz w:val="24"/>
        </w:rPr>
      </w:pPr>
      <w:r>
        <w:rPr>
          <w:rFonts w:hint="eastAsia" w:ascii="宋体" w:hAnsi="宋体"/>
          <w:sz w:val="24"/>
        </w:rPr>
        <w:t>(2)</w:t>
      </w:r>
      <w:r>
        <w:rPr>
          <w:rFonts w:ascii="宋体" w:hAnsi="宋体"/>
          <w:sz w:val="24"/>
        </w:rPr>
        <w:t>投标人代表未按规定时间参加开标会的</w:t>
      </w:r>
      <w:r>
        <w:rPr>
          <w:rFonts w:hint="eastAsia" w:ascii="宋体" w:hAnsi="宋体"/>
          <w:sz w:val="24"/>
        </w:rPr>
        <w:t>。</w:t>
      </w:r>
    </w:p>
    <w:p>
      <w:pPr>
        <w:spacing w:line="360" w:lineRule="auto"/>
        <w:ind w:firstLine="480"/>
        <w:rPr>
          <w:rFonts w:ascii="宋体" w:hAnsi="宋体"/>
          <w:sz w:val="24"/>
        </w:rPr>
      </w:pPr>
      <w:r>
        <w:rPr>
          <w:rFonts w:hint="eastAsia" w:ascii="宋体" w:hAnsi="宋体"/>
          <w:sz w:val="24"/>
        </w:rPr>
        <w:t>23.2.2</w:t>
      </w:r>
      <w:r>
        <w:rPr>
          <w:rFonts w:ascii="宋体" w:hAnsi="宋体"/>
          <w:sz w:val="24"/>
        </w:rPr>
        <w:t>投标人有下列情形之一，按废标处理</w:t>
      </w:r>
    </w:p>
    <w:p>
      <w:pPr>
        <w:spacing w:line="360" w:lineRule="auto"/>
        <w:ind w:firstLine="600"/>
        <w:rPr>
          <w:rFonts w:ascii="宋体" w:hAnsi="宋体"/>
          <w:sz w:val="24"/>
        </w:rPr>
      </w:pPr>
      <w:r>
        <w:rPr>
          <w:rFonts w:hint="eastAsia" w:ascii="宋体" w:hAnsi="宋体"/>
          <w:sz w:val="24"/>
        </w:rPr>
        <w:t>(1)</w:t>
      </w:r>
      <w:r>
        <w:rPr>
          <w:rFonts w:ascii="宋体" w:hAnsi="宋体"/>
          <w:sz w:val="24"/>
        </w:rPr>
        <w:t>不符合</w:t>
      </w:r>
      <w:r>
        <w:rPr>
          <w:rFonts w:hint="eastAsia" w:ascii="宋体" w:hAnsi="宋体"/>
          <w:sz w:val="24"/>
        </w:rPr>
        <w:t>招标文件</w:t>
      </w:r>
      <w:r>
        <w:rPr>
          <w:rFonts w:ascii="宋体" w:hAnsi="宋体"/>
          <w:sz w:val="24"/>
        </w:rPr>
        <w:t>规定的质量等实质性要求；</w:t>
      </w:r>
    </w:p>
    <w:p>
      <w:pPr>
        <w:spacing w:line="360" w:lineRule="auto"/>
        <w:ind w:firstLine="600"/>
        <w:rPr>
          <w:rFonts w:ascii="宋体" w:hAnsi="宋体"/>
          <w:sz w:val="24"/>
        </w:rPr>
      </w:pPr>
      <w:r>
        <w:rPr>
          <w:rFonts w:hint="eastAsia" w:ascii="宋体" w:hAnsi="宋体"/>
          <w:sz w:val="24"/>
        </w:rPr>
        <w:t>(2)</w:t>
      </w:r>
      <w:r>
        <w:rPr>
          <w:rFonts w:ascii="宋体" w:hAnsi="宋体"/>
          <w:sz w:val="24"/>
        </w:rPr>
        <w:t>投标人附有招标人不能接受的条件；</w:t>
      </w:r>
    </w:p>
    <w:p>
      <w:pPr>
        <w:spacing w:line="360" w:lineRule="auto"/>
        <w:ind w:firstLine="600"/>
        <w:rPr>
          <w:rFonts w:ascii="宋体" w:hAnsi="宋体"/>
          <w:sz w:val="24"/>
        </w:rPr>
      </w:pPr>
      <w:r>
        <w:rPr>
          <w:rFonts w:hint="eastAsia" w:ascii="宋体" w:hAnsi="宋体"/>
          <w:sz w:val="24"/>
        </w:rPr>
        <w:t>(3)</w:t>
      </w:r>
      <w:r>
        <w:rPr>
          <w:rFonts w:ascii="宋体" w:hAnsi="宋体"/>
          <w:sz w:val="24"/>
        </w:rPr>
        <w:t>投标人在投标活动中，特别是评标、定标过程中有任何向招标人、评委、监督人员施加影响的行为</w:t>
      </w:r>
      <w:r>
        <w:rPr>
          <w:rFonts w:hint="eastAsia" w:ascii="宋体" w:hAnsi="宋体"/>
          <w:sz w:val="24"/>
        </w:rPr>
        <w:t>；</w:t>
      </w:r>
    </w:p>
    <w:p>
      <w:pPr>
        <w:spacing w:line="360" w:lineRule="auto"/>
        <w:rPr>
          <w:b/>
          <w:sz w:val="24"/>
        </w:rPr>
      </w:pPr>
      <w:r>
        <w:rPr>
          <w:b/>
          <w:sz w:val="24"/>
        </w:rPr>
        <w:t>24</w:t>
      </w:r>
      <w:r>
        <w:rPr>
          <w:rFonts w:ascii="宋体" w:hAnsi="宋体"/>
          <w:b/>
          <w:sz w:val="24"/>
        </w:rPr>
        <w:t>、对投标文件的评估</w:t>
      </w:r>
    </w:p>
    <w:p>
      <w:pPr>
        <w:spacing w:line="360" w:lineRule="auto"/>
        <w:rPr>
          <w:sz w:val="24"/>
        </w:rPr>
      </w:pPr>
      <w:r>
        <w:rPr>
          <w:sz w:val="24"/>
        </w:rPr>
        <w:t>24.1</w:t>
      </w:r>
      <w:r>
        <w:rPr>
          <w:rFonts w:ascii="宋体" w:hAnsi="宋体"/>
          <w:sz w:val="24"/>
        </w:rPr>
        <w:t>评标小组将对能实质性地响应</w:t>
      </w:r>
      <w:r>
        <w:rPr>
          <w:rFonts w:hint="eastAsia" w:ascii="宋体" w:hAnsi="宋体"/>
          <w:sz w:val="24"/>
        </w:rPr>
        <w:t>招标文件</w:t>
      </w:r>
      <w:r>
        <w:rPr>
          <w:rFonts w:ascii="宋体" w:hAnsi="宋体"/>
          <w:sz w:val="24"/>
        </w:rPr>
        <w:t>的投标文件进行评估。</w:t>
      </w:r>
    </w:p>
    <w:p>
      <w:pPr>
        <w:spacing w:line="360" w:lineRule="auto"/>
        <w:rPr>
          <w:spacing w:val="-10"/>
          <w:sz w:val="24"/>
        </w:rPr>
      </w:pPr>
      <w:r>
        <w:rPr>
          <w:spacing w:val="-10"/>
          <w:sz w:val="24"/>
        </w:rPr>
        <w:t>24.2</w:t>
      </w:r>
      <w:r>
        <w:rPr>
          <w:rFonts w:ascii="宋体" w:hAnsi="宋体"/>
          <w:spacing w:val="-10"/>
          <w:sz w:val="24"/>
        </w:rPr>
        <w:t>评</w:t>
      </w:r>
      <w:r>
        <w:rPr>
          <w:rFonts w:hint="eastAsia" w:ascii="宋体" w:hAnsi="宋体"/>
          <w:spacing w:val="-10"/>
          <w:sz w:val="24"/>
        </w:rPr>
        <w:t>估</w:t>
      </w:r>
      <w:r>
        <w:rPr>
          <w:rFonts w:ascii="宋体" w:hAnsi="宋体"/>
          <w:spacing w:val="-10"/>
          <w:sz w:val="24"/>
        </w:rPr>
        <w:t>的主要内容是：货物的技术参数、货物质量和价格、</w:t>
      </w:r>
      <w:r>
        <w:rPr>
          <w:rFonts w:hint="eastAsia" w:ascii="宋体" w:hAnsi="宋体" w:cs="宋体"/>
          <w:spacing w:val="-10"/>
          <w:sz w:val="24"/>
        </w:rPr>
        <w:t>货物</w:t>
      </w:r>
      <w:r>
        <w:rPr>
          <w:rFonts w:ascii="宋体" w:hAnsi="宋体"/>
          <w:spacing w:val="-10"/>
          <w:sz w:val="24"/>
        </w:rPr>
        <w:t>性能、互换性及标准、货物先进性、可靠性、寿命、交货期、运输条件、售后服务和合理化建议及其他内容。</w:t>
      </w:r>
    </w:p>
    <w:p>
      <w:pPr>
        <w:spacing w:line="360" w:lineRule="auto"/>
        <w:rPr>
          <w:b/>
          <w:sz w:val="24"/>
        </w:rPr>
      </w:pPr>
      <w:r>
        <w:rPr>
          <w:b/>
          <w:sz w:val="24"/>
        </w:rPr>
        <w:t>25</w:t>
      </w:r>
      <w:r>
        <w:rPr>
          <w:rFonts w:ascii="宋体" w:hAnsi="宋体"/>
          <w:b/>
          <w:sz w:val="24"/>
        </w:rPr>
        <w:t>、投标文件的澄清</w:t>
      </w:r>
    </w:p>
    <w:p>
      <w:pPr>
        <w:spacing w:line="360" w:lineRule="auto"/>
        <w:ind w:firstLine="480"/>
        <w:rPr>
          <w:sz w:val="24"/>
        </w:rPr>
      </w:pPr>
      <w:r>
        <w:rPr>
          <w:sz w:val="24"/>
        </w:rPr>
        <w:t>25.1</w:t>
      </w:r>
      <w:r>
        <w:rPr>
          <w:rFonts w:ascii="宋体" w:hAnsi="宋体"/>
          <w:sz w:val="24"/>
        </w:rPr>
        <w:t>评标小组可以请投标人澄清其投标。澄清的要求与答复均应是书面的，但并不排除邀请投标人对投标文件某方面的内容作进一步协商的可能。</w:t>
      </w:r>
    </w:p>
    <w:p>
      <w:pPr>
        <w:spacing w:line="360" w:lineRule="auto"/>
        <w:rPr>
          <w:b/>
          <w:sz w:val="24"/>
        </w:rPr>
      </w:pPr>
      <w:r>
        <w:rPr>
          <w:b/>
          <w:sz w:val="24"/>
        </w:rPr>
        <w:t>26</w:t>
      </w:r>
      <w:r>
        <w:rPr>
          <w:rFonts w:ascii="宋体" w:hAnsi="宋体"/>
          <w:b/>
          <w:sz w:val="24"/>
        </w:rPr>
        <w:t>、保密</w:t>
      </w:r>
    </w:p>
    <w:p>
      <w:pPr>
        <w:spacing w:line="360" w:lineRule="auto"/>
        <w:ind w:firstLine="480"/>
        <w:rPr>
          <w:sz w:val="24"/>
        </w:rPr>
      </w:pPr>
      <w:r>
        <w:rPr>
          <w:sz w:val="24"/>
        </w:rPr>
        <w:t>26.1</w:t>
      </w:r>
      <w:r>
        <w:rPr>
          <w:rFonts w:ascii="宋体" w:hAnsi="宋体"/>
          <w:sz w:val="24"/>
        </w:rPr>
        <w:t>有关投标文件的审查、澄清、评估和比较以及有关授予合同的意向的一切情况都不得透露给投标人或与上述评标工作无关的人员。</w:t>
      </w:r>
    </w:p>
    <w:p>
      <w:pPr>
        <w:spacing w:line="360" w:lineRule="auto"/>
        <w:ind w:firstLine="480"/>
        <w:rPr>
          <w:rFonts w:ascii="宋体" w:hAnsi="宋体"/>
          <w:sz w:val="24"/>
        </w:rPr>
      </w:pPr>
      <w:r>
        <w:rPr>
          <w:sz w:val="24"/>
        </w:rPr>
        <w:t>26.2</w:t>
      </w:r>
      <w:r>
        <w:rPr>
          <w:rFonts w:ascii="宋体" w:hAnsi="宋体"/>
          <w:sz w:val="24"/>
        </w:rPr>
        <w:t>在评标期间，投标人企图影响招标单位的任何活动，将导致其投标被拒绝，并承担相应的法律责任。</w:t>
      </w:r>
    </w:p>
    <w:p>
      <w:pPr>
        <w:pStyle w:val="31"/>
        <w:jc w:val="center"/>
        <w:rPr>
          <w:b/>
          <w:sz w:val="28"/>
        </w:rPr>
      </w:pPr>
      <w:bookmarkStart w:id="56" w:name="_Toc508032754"/>
      <w:bookmarkEnd w:id="56"/>
      <w:bookmarkStart w:id="57" w:name="_Toc42003706"/>
      <w:bookmarkEnd w:id="57"/>
      <w:r>
        <w:rPr>
          <w:b/>
          <w:sz w:val="28"/>
        </w:rPr>
        <w:t>第七章  监督与投诉</w:t>
      </w:r>
    </w:p>
    <w:p>
      <w:pPr>
        <w:spacing w:line="500" w:lineRule="exact"/>
        <w:rPr>
          <w:b/>
          <w:sz w:val="24"/>
          <w:lang w:val="en-GB"/>
        </w:rPr>
      </w:pPr>
      <w:r>
        <w:rPr>
          <w:b/>
          <w:sz w:val="24"/>
          <w:lang w:val="en-GB"/>
        </w:rPr>
        <w:t>27</w:t>
      </w:r>
      <w:r>
        <w:rPr>
          <w:rFonts w:ascii="宋体" w:hAnsi="宋体"/>
          <w:b/>
          <w:sz w:val="24"/>
          <w:lang w:val="en-GB"/>
        </w:rPr>
        <w:t>、网上公示</w:t>
      </w:r>
    </w:p>
    <w:p>
      <w:pPr>
        <w:spacing w:line="360" w:lineRule="auto"/>
        <w:ind w:firstLine="480"/>
        <w:rPr>
          <w:sz w:val="24"/>
        </w:rPr>
      </w:pPr>
      <w:r>
        <w:rPr>
          <w:sz w:val="24"/>
        </w:rPr>
        <w:t>评标结束后，招标</w:t>
      </w:r>
      <w:r>
        <w:rPr>
          <w:rFonts w:hint="eastAsia"/>
          <w:sz w:val="24"/>
        </w:rPr>
        <w:t>机构将在</w:t>
      </w:r>
      <w:r>
        <w:rPr>
          <w:rFonts w:hint="eastAsia"/>
          <w:sz w:val="24"/>
          <w:lang w:val="en-US" w:eastAsia="zh-CN"/>
        </w:rPr>
        <w:t>广州电缆厂有限公司官网（网址：</w:t>
      </w:r>
      <w:r>
        <w:rPr>
          <w:rFonts w:hint="eastAsia"/>
          <w:sz w:val="24"/>
        </w:rPr>
        <w:t>http://www.gzdlc.com.cn</w:t>
      </w:r>
      <w:r>
        <w:rPr>
          <w:rFonts w:hint="eastAsia"/>
          <w:sz w:val="24"/>
          <w:lang w:eastAsia="zh-CN"/>
        </w:rPr>
        <w:t>）</w:t>
      </w:r>
      <w:r>
        <w:rPr>
          <w:rFonts w:hint="eastAsia"/>
          <w:sz w:val="24"/>
          <w:lang w:val="en-US" w:eastAsia="zh-CN"/>
        </w:rPr>
        <w:t>和广东省招投标网（网址：http://zbtb.gd.gov.cn/login）</w:t>
      </w:r>
      <w:r>
        <w:rPr>
          <w:rFonts w:hint="eastAsia"/>
          <w:sz w:val="24"/>
        </w:rPr>
        <w:t>上</w:t>
      </w:r>
      <w:r>
        <w:rPr>
          <w:sz w:val="24"/>
        </w:rPr>
        <w:t>公示中标候选人排序，公示时间为3日。投标人或者其他利害关系人对依法必须进行招标的项目的评标结果有异议的，应当在中标候选人公示期间提出。</w:t>
      </w:r>
    </w:p>
    <w:p>
      <w:pPr>
        <w:pStyle w:val="2"/>
        <w:ind w:firstLine="480" w:firstLineChars="200"/>
        <w:rPr>
          <w:sz w:val="24"/>
          <w:lang w:val="en-GB"/>
        </w:rPr>
      </w:pPr>
      <w:r>
        <w:rPr>
          <w:rFonts w:hint="eastAsia" w:ascii="宋体" w:hAnsi="宋体"/>
          <w:sz w:val="24"/>
          <w:szCs w:val="20"/>
          <w:lang w:eastAsia="zh-CN"/>
        </w:rPr>
        <w:t>异议受理部门：</w:t>
      </w:r>
      <w:r>
        <w:rPr>
          <w:rFonts w:hint="eastAsia" w:ascii="宋体" w:hAnsi="宋体"/>
          <w:sz w:val="24"/>
          <w:szCs w:val="20"/>
          <w:lang w:val="en-US" w:eastAsia="zh-CN"/>
        </w:rPr>
        <w:t>广州电缆厂有限公司纪委办公室</w:t>
      </w:r>
      <w:r>
        <w:rPr>
          <w:rFonts w:hint="eastAsia" w:ascii="宋体" w:hAnsi="宋体"/>
          <w:sz w:val="24"/>
          <w:szCs w:val="20"/>
          <w:lang w:val="en-GB" w:eastAsia="zh-CN"/>
        </w:rPr>
        <w:t>，联系地址：</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w:t>
      </w:r>
      <w:r>
        <w:rPr>
          <w:rFonts w:hint="eastAsia" w:ascii="宋体" w:hAnsi="宋体"/>
          <w:sz w:val="24"/>
          <w:szCs w:val="20"/>
          <w:lang w:val="en-US" w:eastAsia="zh-CN"/>
        </w:rPr>
        <w:t>张祖华    联系</w:t>
      </w:r>
      <w:r>
        <w:rPr>
          <w:rFonts w:hint="eastAsia" w:ascii="宋体" w:hAnsi="宋体"/>
          <w:sz w:val="24"/>
          <w:szCs w:val="20"/>
          <w:lang w:val="en-GB" w:eastAsia="zh-CN"/>
        </w:rPr>
        <w:t>电话：</w:t>
      </w:r>
      <w:r>
        <w:rPr>
          <w:rFonts w:hint="eastAsia" w:ascii="宋体" w:hAnsi="宋体"/>
          <w:sz w:val="24"/>
          <w:szCs w:val="20"/>
          <w:lang w:val="en-US" w:eastAsia="zh-CN"/>
        </w:rPr>
        <w:t>020-84999895</w:t>
      </w:r>
    </w:p>
    <w:p>
      <w:pPr>
        <w:spacing w:line="500" w:lineRule="exact"/>
        <w:rPr>
          <w:b/>
          <w:sz w:val="24"/>
          <w:lang w:val="en-GB"/>
        </w:rPr>
      </w:pPr>
      <w:r>
        <w:rPr>
          <w:b/>
          <w:sz w:val="24"/>
          <w:lang w:val="en-GB"/>
        </w:rPr>
        <w:t>28</w:t>
      </w:r>
      <w:r>
        <w:rPr>
          <w:rFonts w:ascii="宋体" w:hAnsi="宋体"/>
          <w:b/>
          <w:sz w:val="24"/>
          <w:lang w:val="en-GB"/>
        </w:rPr>
        <w:t>、有效投诉期</w:t>
      </w:r>
    </w:p>
    <w:p>
      <w:pPr>
        <w:spacing w:line="500" w:lineRule="exact"/>
        <w:rPr>
          <w:sz w:val="24"/>
          <w:lang w:val="en-GB"/>
        </w:rPr>
      </w:pPr>
      <w:r>
        <w:rPr>
          <w:sz w:val="24"/>
          <w:lang w:val="en-GB"/>
        </w:rPr>
        <w:t>28.1</w:t>
      </w:r>
      <w:r>
        <w:rPr>
          <w:rFonts w:ascii="宋体" w:hAnsi="宋体"/>
          <w:sz w:val="24"/>
          <w:lang w:val="en-GB"/>
        </w:rPr>
        <w:t>投标人或者其他利害关系人认为招标投标活动不符合法律、行政法规规定的，可以自知道或者应当知道之日起</w:t>
      </w:r>
      <w:r>
        <w:rPr>
          <w:sz w:val="24"/>
          <w:lang w:val="en-GB"/>
        </w:rPr>
        <w:t>10</w:t>
      </w:r>
      <w:r>
        <w:rPr>
          <w:rFonts w:ascii="宋体" w:hAnsi="宋体"/>
          <w:sz w:val="24"/>
          <w:lang w:val="en-GB"/>
        </w:rPr>
        <w:t>日内向有关部门投诉。投诉应当有明确的请求和必要的证明材料。</w:t>
      </w:r>
    </w:p>
    <w:p>
      <w:pPr>
        <w:pStyle w:val="2"/>
        <w:ind w:firstLine="480" w:firstLineChars="200"/>
        <w:rPr>
          <w:sz w:val="24"/>
          <w:lang w:val="en-US"/>
        </w:rPr>
      </w:pPr>
      <w:r>
        <w:rPr>
          <w:rFonts w:ascii="宋体" w:hAnsi="宋体"/>
          <w:sz w:val="24"/>
          <w:lang w:val="en-GB"/>
        </w:rPr>
        <w:t>投诉受理</w:t>
      </w:r>
      <w:r>
        <w:rPr>
          <w:rFonts w:hint="eastAsia" w:ascii="宋体" w:hAnsi="宋体"/>
          <w:sz w:val="24"/>
          <w:lang w:val="en-GB" w:eastAsia="zh-CN"/>
        </w:rPr>
        <w:t>部门</w:t>
      </w:r>
      <w:r>
        <w:rPr>
          <w:rFonts w:ascii="宋体" w:hAnsi="宋体"/>
          <w:sz w:val="24"/>
          <w:lang w:val="en-GB"/>
        </w:rPr>
        <w:t>：</w:t>
      </w:r>
      <w:r>
        <w:rPr>
          <w:rFonts w:hint="eastAsia" w:ascii="宋体" w:hAnsi="宋体"/>
          <w:sz w:val="24"/>
          <w:szCs w:val="20"/>
          <w:lang w:val="en-US" w:eastAsia="zh-CN"/>
        </w:rPr>
        <w:t>广州电缆厂有限公司采购部</w:t>
      </w:r>
      <w:r>
        <w:rPr>
          <w:rFonts w:ascii="宋体" w:hAnsi="宋体"/>
          <w:sz w:val="24"/>
          <w:lang w:val="en-GB"/>
        </w:rPr>
        <w:t>，</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，联系人：黄工</w:t>
      </w:r>
      <w:r>
        <w:rPr>
          <w:rFonts w:hint="eastAsia" w:ascii="宋体" w:hAnsi="宋体"/>
          <w:sz w:val="24"/>
          <w:szCs w:val="20"/>
          <w:lang w:val="en-US" w:eastAsia="zh-CN"/>
        </w:rPr>
        <w:t xml:space="preserve">    联系</w:t>
      </w:r>
      <w:r>
        <w:rPr>
          <w:rFonts w:hint="eastAsia" w:ascii="宋体" w:hAnsi="宋体"/>
          <w:sz w:val="24"/>
          <w:szCs w:val="20"/>
          <w:lang w:val="en-GB" w:eastAsia="zh-CN"/>
        </w:rPr>
        <w:t>电话：</w:t>
      </w:r>
      <w:r>
        <w:rPr>
          <w:rFonts w:hint="eastAsia" w:ascii="宋体" w:hAnsi="宋体"/>
          <w:sz w:val="24"/>
          <w:szCs w:val="20"/>
          <w:lang w:val="en-US" w:eastAsia="zh-CN"/>
        </w:rPr>
        <w:t>020-81982161</w:t>
      </w:r>
    </w:p>
    <w:p>
      <w:pPr>
        <w:spacing w:line="360" w:lineRule="auto"/>
        <w:rPr>
          <w:sz w:val="24"/>
        </w:rPr>
      </w:pPr>
      <w:r>
        <w:rPr>
          <w:sz w:val="24"/>
        </w:rPr>
        <w:t>28.2有关质疑和投诉应严格遵照《中华人民共和国招标投标法实施条例》（中华人民共和国国务院令第613号）及《工程建设项目招标投标活动投诉处理办法》（国家发改委等七部委局第11号令）的要求及其它相关法规要求。</w:t>
      </w:r>
    </w:p>
    <w:p>
      <w:pPr>
        <w:spacing w:line="360" w:lineRule="auto"/>
        <w:rPr>
          <w:sz w:val="24"/>
        </w:rPr>
      </w:pPr>
      <w:r>
        <w:rPr>
          <w:sz w:val="24"/>
        </w:rPr>
        <w:t>28.3投诉人有下列情况的，为不正当投诉，由</w:t>
      </w:r>
      <w:r>
        <w:rPr>
          <w:sz w:val="24"/>
          <w:lang w:val="en-GB"/>
        </w:rPr>
        <w:t>受理机构</w:t>
      </w:r>
      <w:r>
        <w:rPr>
          <w:sz w:val="24"/>
        </w:rPr>
        <w:t>驳回投诉，并给予警告，情节严重的并处罚款和在一定时期内停止其参与</w:t>
      </w:r>
      <w:r>
        <w:rPr>
          <w:rFonts w:hint="eastAsia"/>
          <w:sz w:val="24"/>
          <w:lang w:eastAsia="zh-CN"/>
        </w:rPr>
        <w:t>广州电缆厂</w:t>
      </w:r>
      <w:r>
        <w:rPr>
          <w:sz w:val="24"/>
        </w:rPr>
        <w:t>的投标活动。</w:t>
      </w:r>
    </w:p>
    <w:p>
      <w:pPr>
        <w:spacing w:line="360" w:lineRule="auto"/>
        <w:rPr>
          <w:sz w:val="24"/>
        </w:rPr>
      </w:pPr>
      <w:r>
        <w:rPr>
          <w:sz w:val="24"/>
        </w:rPr>
        <w:t>（1）以投诉为名排斥竞争对手的；</w:t>
      </w:r>
    </w:p>
    <w:p>
      <w:pPr>
        <w:spacing w:line="360" w:lineRule="auto"/>
        <w:rPr>
          <w:sz w:val="24"/>
        </w:rPr>
      </w:pPr>
      <w:r>
        <w:rPr>
          <w:sz w:val="24"/>
        </w:rPr>
        <w:t>（2）进行虚假、恶意投诉的；</w:t>
      </w:r>
    </w:p>
    <w:p>
      <w:pPr>
        <w:spacing w:line="360" w:lineRule="auto"/>
        <w:rPr>
          <w:sz w:val="24"/>
        </w:rPr>
      </w:pPr>
      <w:r>
        <w:rPr>
          <w:sz w:val="24"/>
        </w:rPr>
        <w:t>（3）阻碍招标投标活动正常进行的。</w:t>
      </w:r>
      <w:bookmarkStart w:id="58" w:name="_Toc508032755"/>
      <w:bookmarkEnd w:id="58"/>
    </w:p>
    <w:p>
      <w:pPr>
        <w:spacing w:line="360" w:lineRule="auto"/>
        <w:jc w:val="center"/>
        <w:rPr>
          <w:b/>
          <w:sz w:val="28"/>
        </w:rPr>
      </w:pPr>
      <w:r>
        <w:rPr>
          <w:b/>
          <w:sz w:val="28"/>
        </w:rPr>
        <w:t>第八章  授予合同</w:t>
      </w:r>
    </w:p>
    <w:p>
      <w:pPr>
        <w:spacing w:line="360" w:lineRule="auto"/>
        <w:rPr>
          <w:b/>
          <w:sz w:val="24"/>
        </w:rPr>
      </w:pPr>
      <w:r>
        <w:rPr>
          <w:b/>
          <w:sz w:val="24"/>
        </w:rPr>
        <w:t>29</w:t>
      </w:r>
      <w:r>
        <w:rPr>
          <w:rFonts w:ascii="宋体" w:hAnsi="宋体"/>
          <w:b/>
          <w:sz w:val="24"/>
        </w:rPr>
        <w:t>、授予合同的准则</w:t>
      </w:r>
    </w:p>
    <w:p>
      <w:pPr>
        <w:spacing w:line="360" w:lineRule="auto"/>
        <w:ind w:firstLine="570"/>
        <w:rPr>
          <w:sz w:val="24"/>
        </w:rPr>
      </w:pPr>
      <w:r>
        <w:rPr>
          <w:rFonts w:ascii="宋体" w:hAnsi="宋体"/>
          <w:sz w:val="24"/>
        </w:rPr>
        <w:t>合同将授予符合</w:t>
      </w:r>
      <w:r>
        <w:rPr>
          <w:rFonts w:hint="eastAsia" w:ascii="宋体" w:hAnsi="宋体"/>
          <w:sz w:val="24"/>
        </w:rPr>
        <w:t>招标文件</w:t>
      </w:r>
      <w:r>
        <w:rPr>
          <w:rFonts w:ascii="宋体" w:hAnsi="宋体"/>
          <w:sz w:val="24"/>
        </w:rPr>
        <w:t>条件，对买方最为有利的投标人，而并非最低报价的投标人。</w:t>
      </w:r>
    </w:p>
    <w:p>
      <w:pPr>
        <w:spacing w:line="360" w:lineRule="auto"/>
        <w:rPr>
          <w:b/>
          <w:sz w:val="24"/>
        </w:rPr>
      </w:pPr>
      <w:r>
        <w:rPr>
          <w:b/>
          <w:sz w:val="24"/>
        </w:rPr>
        <w:t>30</w:t>
      </w:r>
      <w:r>
        <w:rPr>
          <w:rFonts w:ascii="宋体" w:hAnsi="宋体"/>
          <w:b/>
          <w:sz w:val="24"/>
        </w:rPr>
        <w:t>、授予合同时变更数量的权利</w:t>
      </w:r>
    </w:p>
    <w:p>
      <w:pPr>
        <w:spacing w:line="360" w:lineRule="auto"/>
        <w:ind w:firstLine="570"/>
        <w:rPr>
          <w:sz w:val="24"/>
        </w:rPr>
      </w:pPr>
      <w:r>
        <w:rPr>
          <w:sz w:val="24"/>
        </w:rPr>
        <w:t>30.1</w:t>
      </w:r>
      <w:r>
        <w:rPr>
          <w:rFonts w:hint="eastAsia" w:ascii="宋体" w:hAnsi="宋体"/>
          <w:sz w:val="24"/>
        </w:rPr>
        <w:t>数量变更：招标人保留对“招标货物清单”中规定的货物数量和服务予以增加或减少的权力，投标人不得对此提出所报单价或其它条款和条件的任何改变。</w:t>
      </w:r>
    </w:p>
    <w:p>
      <w:pPr>
        <w:spacing w:line="360" w:lineRule="auto"/>
        <w:rPr>
          <w:b/>
          <w:sz w:val="24"/>
        </w:rPr>
      </w:pPr>
      <w:r>
        <w:rPr>
          <w:b/>
          <w:sz w:val="24"/>
        </w:rPr>
        <w:t>31</w:t>
      </w:r>
      <w:r>
        <w:rPr>
          <w:rFonts w:ascii="宋体" w:hAnsi="宋体"/>
          <w:b/>
          <w:sz w:val="24"/>
        </w:rPr>
        <w:t>、中标通知</w:t>
      </w:r>
    </w:p>
    <w:p>
      <w:pPr>
        <w:spacing w:line="360" w:lineRule="auto"/>
        <w:ind w:firstLine="573"/>
        <w:rPr>
          <w:sz w:val="24"/>
        </w:rPr>
      </w:pPr>
      <w:r>
        <w:rPr>
          <w:sz w:val="24"/>
        </w:rPr>
        <w:t>31.1</w:t>
      </w:r>
      <w:r>
        <w:rPr>
          <w:rFonts w:ascii="宋体" w:hAnsi="宋体"/>
          <w:sz w:val="24"/>
        </w:rPr>
        <w:t>在投标文件有效期满前，招标单位将以书面形式通知中标人其投标被接受。</w:t>
      </w:r>
    </w:p>
    <w:p>
      <w:pPr>
        <w:spacing w:line="360" w:lineRule="auto"/>
        <w:ind w:firstLine="573"/>
        <w:rPr>
          <w:sz w:val="24"/>
        </w:rPr>
      </w:pPr>
      <w:r>
        <w:rPr>
          <w:sz w:val="24"/>
        </w:rPr>
        <w:t>31.2</w:t>
      </w:r>
      <w:r>
        <w:rPr>
          <w:rFonts w:ascii="宋体" w:hAnsi="宋体"/>
          <w:sz w:val="24"/>
        </w:rPr>
        <w:t>招标单位在中标人与买方签订合同后，随即通知其他未中标的投标人其投标未被接受，但可不必说明理由。</w:t>
      </w:r>
    </w:p>
    <w:p>
      <w:pPr>
        <w:spacing w:line="360" w:lineRule="auto"/>
        <w:ind w:firstLine="573"/>
        <w:rPr>
          <w:sz w:val="24"/>
        </w:rPr>
      </w:pPr>
      <w:r>
        <w:rPr>
          <w:sz w:val="24"/>
        </w:rPr>
        <w:t>31.3</w:t>
      </w:r>
      <w:r>
        <w:rPr>
          <w:rFonts w:ascii="宋体" w:hAnsi="宋体"/>
          <w:sz w:val="24"/>
        </w:rPr>
        <w:t>中标通知书将构成合同的一部分。</w:t>
      </w:r>
    </w:p>
    <w:p>
      <w:pPr>
        <w:spacing w:line="360" w:lineRule="auto"/>
        <w:rPr>
          <w:b/>
          <w:sz w:val="24"/>
        </w:rPr>
      </w:pPr>
      <w:r>
        <w:rPr>
          <w:b/>
          <w:sz w:val="24"/>
        </w:rPr>
        <w:t>32</w:t>
      </w:r>
      <w:r>
        <w:rPr>
          <w:rFonts w:ascii="宋体" w:hAnsi="宋体"/>
          <w:b/>
          <w:sz w:val="24"/>
        </w:rPr>
        <w:t>、签订合同</w:t>
      </w:r>
    </w:p>
    <w:p>
      <w:pPr>
        <w:spacing w:line="360" w:lineRule="auto"/>
        <w:ind w:firstLine="573"/>
        <w:rPr>
          <w:rFonts w:ascii="宋体" w:hAnsi="宋体"/>
          <w:sz w:val="24"/>
        </w:rPr>
      </w:pPr>
      <w:r>
        <w:rPr>
          <w:sz w:val="24"/>
        </w:rPr>
        <w:t>32.1</w:t>
      </w:r>
      <w:r>
        <w:rPr>
          <w:rFonts w:ascii="宋体" w:hAnsi="宋体"/>
          <w:sz w:val="24"/>
        </w:rPr>
        <w:t>中标人应按招标单位指定的时间、地点与买方签订合同。</w:t>
      </w:r>
    </w:p>
    <w:p>
      <w:pPr>
        <w:spacing w:line="360" w:lineRule="auto"/>
        <w:ind w:firstLine="573"/>
        <w:rPr>
          <w:rFonts w:ascii="宋体" w:hAnsi="宋体"/>
          <w:sz w:val="24"/>
        </w:rPr>
      </w:pPr>
      <w:r>
        <w:rPr>
          <w:rFonts w:ascii="宋体" w:hAnsi="宋体"/>
          <w:sz w:val="24"/>
        </w:rPr>
        <w:t>3</w:t>
      </w:r>
      <w:r>
        <w:rPr>
          <w:rFonts w:hint="eastAsia" w:ascii="宋体" w:hAnsi="宋体"/>
          <w:sz w:val="24"/>
        </w:rPr>
        <w:t>2</w:t>
      </w:r>
      <w:r>
        <w:rPr>
          <w:rFonts w:ascii="宋体" w:hAnsi="宋体"/>
          <w:sz w:val="24"/>
        </w:rPr>
        <w:t>.2若中标人未按3</w:t>
      </w:r>
      <w:r>
        <w:rPr>
          <w:rFonts w:hint="eastAsia" w:ascii="宋体" w:hAnsi="宋体"/>
          <w:sz w:val="24"/>
        </w:rPr>
        <w:t>0</w:t>
      </w:r>
      <w:r>
        <w:rPr>
          <w:rFonts w:ascii="宋体" w:hAnsi="宋体"/>
          <w:sz w:val="24"/>
        </w:rPr>
        <w:t>.1款与买方签订合同，招标单位有权取消其中标资格且</w:t>
      </w:r>
      <w:r>
        <w:rPr>
          <w:rFonts w:hint="eastAsia" w:ascii="宋体" w:hAnsi="宋体"/>
          <w:sz w:val="24"/>
        </w:rPr>
        <w:t>不予退还</w:t>
      </w:r>
      <w:r>
        <w:rPr>
          <w:rFonts w:ascii="宋体" w:hAnsi="宋体"/>
          <w:sz w:val="24"/>
        </w:rPr>
        <w:t>其投标保证金，排序第二名的投标人成为新的中标人或者重新招标。</w:t>
      </w:r>
    </w:p>
    <w:p>
      <w:pPr>
        <w:rPr>
          <w:rFonts w:ascii="宋体" w:hAnsi="宋体"/>
          <w:sz w:val="24"/>
        </w:rPr>
      </w:pPr>
      <w:bookmarkStart w:id="59" w:name="_Toc42003707"/>
      <w:bookmarkEnd w:id="59"/>
      <w:r>
        <w:rPr>
          <w:rFonts w:ascii="宋体" w:hAnsi="宋体"/>
          <w:b/>
          <w:bCs/>
          <w:sz w:val="24"/>
        </w:rPr>
        <w:br w:type="page"/>
      </w:r>
    </w:p>
    <w:p>
      <w:pPr>
        <w:pStyle w:val="36"/>
        <w:rPr>
          <w:highlight w:val="none"/>
        </w:rPr>
      </w:pPr>
      <w:bookmarkStart w:id="60" w:name="_Toc69378301"/>
      <w:r>
        <w:rPr>
          <w:highlight w:val="none"/>
        </w:rPr>
        <w:t>第三部分  技术文件</w:t>
      </w:r>
      <w:bookmarkEnd w:id="60"/>
    </w:p>
    <w:p>
      <w:pPr>
        <w:pStyle w:val="36"/>
        <w:rPr>
          <w:rFonts w:hint="eastAsia" w:ascii="宋体" w:hAnsi="宋体" w:eastAsia="宋体" w:cs="宋体"/>
          <w:b/>
          <w:color w:val="auto"/>
          <w:sz w:val="28"/>
          <w:szCs w:val="28"/>
          <w:highlight w:val="none"/>
        </w:rPr>
      </w:pPr>
      <w:bookmarkStart w:id="61" w:name="_Toc42003708"/>
      <w:bookmarkEnd w:id="61"/>
      <w:r>
        <w:rPr>
          <w:highlight w:val="none"/>
        </w:rPr>
        <w:t xml:space="preserve">    </w:t>
      </w:r>
      <w:r>
        <w:rPr>
          <w:rFonts w:hint="eastAsia"/>
          <w:highlight w:val="none"/>
          <w:lang w:val="en-US" w:eastAsia="zh-CN"/>
        </w:rPr>
        <w:t>双头分电机大拉机招标</w:t>
      </w:r>
      <w:r>
        <w:rPr>
          <w:rFonts w:hint="eastAsia"/>
          <w:highlight w:val="none"/>
        </w:rPr>
        <w:t>技术</w:t>
      </w:r>
      <w:r>
        <w:rPr>
          <w:rFonts w:hint="eastAsia"/>
          <w:highlight w:val="none"/>
          <w:lang w:val="en-US" w:eastAsia="zh-CN"/>
        </w:rPr>
        <w:t>要求</w:t>
      </w:r>
    </w:p>
    <w:p>
      <w:pPr>
        <w:numPr>
          <w:ilvl w:val="0"/>
          <w:numId w:val="0"/>
        </w:numPr>
        <w:adjustRightInd w:val="0"/>
        <w:snapToGrid w:val="0"/>
        <w:spacing w:line="380" w:lineRule="atLeast"/>
        <w:ind w:leftChars="0"/>
        <w:rPr>
          <w:rFonts w:hint="eastAsia" w:ascii="宋体" w:hAnsi="宋体" w:eastAsia="宋体" w:cs="宋体"/>
          <w:b/>
          <w:color w:val="auto"/>
          <w:sz w:val="28"/>
          <w:szCs w:val="28"/>
        </w:rPr>
      </w:pPr>
      <w:r>
        <w:rPr>
          <w:rFonts w:hint="eastAsia" w:ascii="宋体" w:hAnsi="宋体" w:eastAsia="宋体" w:cs="宋体"/>
          <w:b/>
          <w:color w:val="auto"/>
          <w:sz w:val="28"/>
          <w:szCs w:val="28"/>
        </w:rPr>
        <w:t>设备用途</w:t>
      </w:r>
    </w:p>
    <w:p>
      <w:pPr>
        <w:spacing w:line="380" w:lineRule="atLeast"/>
        <w:ind w:firstLine="480" w:firstLineChars="200"/>
        <w:rPr>
          <w:rFonts w:hint="eastAsia" w:ascii="宋体" w:hAnsi="宋体" w:eastAsia="宋体" w:cs="宋体"/>
          <w:color w:val="auto"/>
        </w:rPr>
      </w:pPr>
      <w:r>
        <w:rPr>
          <w:rFonts w:hint="eastAsia" w:ascii="宋体" w:hAnsi="宋体" w:eastAsia="宋体" w:cs="宋体"/>
          <w:color w:val="auto"/>
          <w:sz w:val="24"/>
        </w:rPr>
        <w:t>主要用于同时将二根φ8.0mm铜杆拉制成</w:t>
      </w:r>
      <w:r>
        <w:rPr>
          <w:rFonts w:hint="eastAsia" w:ascii="宋体" w:hAnsi="宋体" w:eastAsia="宋体" w:cs="宋体"/>
          <w:color w:val="auto"/>
          <w:kern w:val="0"/>
          <w:sz w:val="24"/>
          <w:lang w:val="zh-CN"/>
        </w:rPr>
        <w:t>φ1.6～φ4.5</w:t>
      </w:r>
      <w:r>
        <w:rPr>
          <w:rFonts w:hint="eastAsia" w:ascii="宋体" w:hAnsi="宋体" w:eastAsia="宋体" w:cs="宋体"/>
          <w:color w:val="auto"/>
          <w:sz w:val="24"/>
        </w:rPr>
        <w:t>mm</w:t>
      </w:r>
      <w:r>
        <w:rPr>
          <w:rFonts w:hint="eastAsia" w:ascii="宋体" w:hAnsi="宋体" w:eastAsia="宋体" w:cs="宋体"/>
          <w:color w:val="auto"/>
          <w:kern w:val="0"/>
          <w:sz w:val="24"/>
          <w:lang w:val="zh-CN"/>
        </w:rPr>
        <w:t>的退火铜</w:t>
      </w:r>
      <w:r>
        <w:rPr>
          <w:rFonts w:hint="eastAsia" w:ascii="宋体" w:hAnsi="宋体" w:eastAsia="宋体" w:cs="宋体"/>
          <w:color w:val="auto"/>
          <w:sz w:val="24"/>
        </w:rPr>
        <w:t>线, 铜线圆整度符合国标</w:t>
      </w: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同时也满足</w:t>
      </w:r>
      <w:r>
        <w:rPr>
          <w:rFonts w:hint="eastAsia" w:ascii="宋体" w:hAnsi="宋体" w:eastAsia="宋体" w:cs="宋体"/>
          <w:b/>
          <w:bCs/>
          <w:color w:val="auto"/>
          <w:sz w:val="24"/>
          <w:lang w:val="en-US" w:eastAsia="zh-CN"/>
        </w:rPr>
        <w:t>异形导体拉丝</w:t>
      </w:r>
      <w:r>
        <w:rPr>
          <w:rFonts w:hint="eastAsia" w:ascii="宋体" w:hAnsi="宋体" w:eastAsia="宋体" w:cs="宋体"/>
          <w:color w:val="auto"/>
          <w:kern w:val="0"/>
          <w:sz w:val="24"/>
          <w:lang w:val="zh-CN"/>
        </w:rPr>
        <w:t>。</w:t>
      </w:r>
      <w:r>
        <w:rPr>
          <w:rFonts w:hint="eastAsia" w:ascii="宋体" w:hAnsi="宋体" w:eastAsia="宋体" w:cs="宋体"/>
          <w:color w:val="auto"/>
          <w:sz w:val="24"/>
        </w:rPr>
        <w:t>每道拉丝鼓轮分别由独立电机</w:t>
      </w:r>
      <w:r>
        <w:rPr>
          <w:rFonts w:hint="eastAsia" w:ascii="宋体" w:hAnsi="宋体" w:eastAsia="宋体" w:cs="宋体"/>
          <w:color w:val="auto"/>
          <w:sz w:val="24"/>
          <w:lang w:val="en-US" w:eastAsia="zh-CN"/>
        </w:rPr>
        <w:t>驱动</w:t>
      </w:r>
      <w:r>
        <w:rPr>
          <w:rFonts w:hint="eastAsia" w:ascii="宋体" w:hAnsi="宋体" w:eastAsia="宋体" w:cs="宋体"/>
          <w:color w:val="auto"/>
          <w:sz w:val="24"/>
        </w:rPr>
        <w:t>，各拉丝轮的速比可以在一定范围内设定，自动按比例分配各电机速度。</w:t>
      </w:r>
    </w:p>
    <w:p>
      <w:pPr>
        <w:spacing w:line="460" w:lineRule="exact"/>
        <w:rPr>
          <w:rFonts w:hint="eastAsia" w:ascii="宋体" w:hAnsi="宋体" w:eastAsia="宋体" w:cs="宋体"/>
          <w:b/>
          <w:color w:val="auto"/>
          <w:sz w:val="24"/>
        </w:rPr>
      </w:pPr>
      <w:r>
        <w:rPr>
          <w:rFonts w:hint="eastAsia" w:ascii="宋体" w:hAnsi="宋体" w:eastAsia="宋体" w:cs="宋体"/>
          <w:b/>
          <w:color w:val="auto"/>
          <w:sz w:val="24"/>
        </w:rPr>
        <w:t xml:space="preserve">     招标编号：</w:t>
      </w:r>
    </w:p>
    <w:tbl>
      <w:tblPr>
        <w:tblStyle w:val="42"/>
        <w:tblW w:w="8994" w:type="dxa"/>
        <w:jc w:val="center"/>
        <w:tblInd w:w="0" w:type="dxa"/>
        <w:tblLayout w:type="fixed"/>
        <w:tblCellMar>
          <w:top w:w="0" w:type="dxa"/>
          <w:left w:w="10" w:type="dxa"/>
          <w:bottom w:w="0" w:type="dxa"/>
          <w:right w:w="10" w:type="dxa"/>
        </w:tblCellMar>
      </w:tblPr>
      <w:tblGrid>
        <w:gridCol w:w="1841"/>
        <w:gridCol w:w="7153"/>
      </w:tblGrid>
      <w:tr>
        <w:tblPrEx>
          <w:tblLayout w:type="fixed"/>
          <w:tblCellMar>
            <w:top w:w="0" w:type="dxa"/>
            <w:left w:w="10" w:type="dxa"/>
            <w:bottom w:w="0" w:type="dxa"/>
            <w:right w:w="10" w:type="dxa"/>
          </w:tblCellMar>
        </w:tblPrEx>
        <w:trPr>
          <w:cantSplit/>
          <w:trHeight w:val="1397" w:hRule="atLeast"/>
          <w:jc w:val="center"/>
        </w:trPr>
        <w:tc>
          <w:tcPr>
            <w:tcW w:w="1841" w:type="dxa"/>
            <w:tcBorders>
              <w:top w:val="single" w:color="000000" w:sz="4" w:space="0"/>
              <w:left w:val="single" w:color="000000" w:sz="4" w:space="0"/>
              <w:bottom w:val="single" w:color="000000" w:sz="4" w:space="0"/>
              <w:right w:val="single" w:color="000000" w:sz="4" w:space="0"/>
              <w:tl2br w:val="single" w:color="auto" w:sz="4" w:space="0"/>
            </w:tcBorders>
            <w:tcMar>
              <w:top w:w="0" w:type="dxa"/>
              <w:left w:w="108" w:type="dxa"/>
              <w:bottom w:w="0" w:type="dxa"/>
              <w:right w:w="108" w:type="dxa"/>
            </w:tcMar>
            <w:vAlign w:val="center"/>
          </w:tcPr>
          <w:p>
            <w:pPr>
              <w:ind w:firstLine="480" w:firstLineChars="200"/>
              <w:rPr>
                <w:rFonts w:hint="eastAsia" w:ascii="宋体" w:hAnsi="宋体" w:eastAsia="宋体" w:cs="宋体"/>
                <w:color w:val="auto"/>
                <w:sz w:val="24"/>
              </w:rPr>
            </w:pPr>
            <w:bookmarkStart w:id="62" w:name="_Toc407782690"/>
            <w:bookmarkEnd w:id="62"/>
            <w:bookmarkStart w:id="63" w:name="_Toc407782804"/>
            <w:bookmarkEnd w:id="63"/>
            <w:r>
              <w:rPr>
                <w:rFonts w:hint="eastAsia" w:ascii="宋体" w:hAnsi="宋体" w:eastAsia="宋体" w:cs="宋体"/>
                <w:color w:val="auto"/>
                <w:sz w:val="24"/>
              </w:rPr>
              <w:t>项目名称</w:t>
            </w:r>
          </w:p>
          <w:p>
            <w:pPr>
              <w:rPr>
                <w:rFonts w:hint="eastAsia" w:ascii="宋体" w:hAnsi="宋体" w:eastAsia="宋体" w:cs="宋体"/>
                <w:color w:val="auto"/>
                <w:sz w:val="24"/>
              </w:rPr>
            </w:pPr>
          </w:p>
          <w:p>
            <w:pPr>
              <w:rPr>
                <w:rFonts w:hint="eastAsia" w:ascii="宋体" w:hAnsi="宋体" w:eastAsia="宋体" w:cs="宋体"/>
                <w:color w:val="auto"/>
                <w:sz w:val="24"/>
              </w:rPr>
            </w:pPr>
            <w:bookmarkStart w:id="64" w:name="_Toc407782805"/>
            <w:bookmarkEnd w:id="64"/>
            <w:bookmarkStart w:id="65" w:name="_Toc407782691"/>
            <w:bookmarkEnd w:id="65"/>
            <w:r>
              <w:rPr>
                <w:rFonts w:hint="eastAsia" w:ascii="宋体" w:hAnsi="宋体" w:eastAsia="宋体" w:cs="宋体"/>
                <w:color w:val="auto"/>
                <w:sz w:val="24"/>
              </w:rPr>
              <w:t>内容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sz w:val="24"/>
              </w:rPr>
            </w:pPr>
            <w:r>
              <w:rPr>
                <w:rFonts w:hint="eastAsia" w:ascii="宋体" w:hAnsi="宋体" w:eastAsia="宋体" w:cs="宋体"/>
                <w:b w:val="0"/>
                <w:bCs/>
                <w:sz w:val="32"/>
                <w:szCs w:val="28"/>
                <w:lang w:val="en-US" w:eastAsia="zh-CN"/>
              </w:rPr>
              <w:t>双头分电机大拉机</w:t>
            </w:r>
            <w:r>
              <w:rPr>
                <w:rFonts w:hint="eastAsia" w:ascii="宋体" w:hAnsi="宋体" w:eastAsia="宋体" w:cs="宋体"/>
                <w:b w:val="0"/>
                <w:bCs/>
                <w:sz w:val="32"/>
                <w:szCs w:val="28"/>
              </w:rPr>
              <w:t>设备采购</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设备名称</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b w:val="0"/>
                <w:bCs w:val="0"/>
                <w:color w:val="auto"/>
                <w:sz w:val="24"/>
                <w:szCs w:val="24"/>
              </w:rPr>
              <w:t>双头</w:t>
            </w:r>
            <w:r>
              <w:rPr>
                <w:rFonts w:hint="eastAsia" w:ascii="宋体" w:hAnsi="宋体" w:cs="宋体"/>
                <w:b w:val="0"/>
                <w:bCs w:val="0"/>
                <w:color w:val="auto"/>
                <w:sz w:val="24"/>
                <w:szCs w:val="24"/>
                <w:lang w:val="en-US" w:eastAsia="zh-CN"/>
              </w:rPr>
              <w:t>分电机</w:t>
            </w:r>
            <w:r>
              <w:rPr>
                <w:rFonts w:hint="eastAsia" w:ascii="宋体" w:hAnsi="宋体" w:eastAsia="宋体" w:cs="宋体"/>
                <w:b w:val="0"/>
                <w:bCs w:val="0"/>
                <w:color w:val="auto"/>
                <w:sz w:val="24"/>
                <w:szCs w:val="24"/>
              </w:rPr>
              <w:t>大拉机</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数量</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1套</w:t>
            </w:r>
          </w:p>
        </w:tc>
      </w:tr>
      <w:tr>
        <w:tblPrEx>
          <w:tblLayout w:type="fixed"/>
          <w:tblCellMar>
            <w:top w:w="0" w:type="dxa"/>
            <w:left w:w="10" w:type="dxa"/>
            <w:bottom w:w="0" w:type="dxa"/>
            <w:right w:w="10" w:type="dxa"/>
          </w:tblCellMar>
        </w:tblPrEx>
        <w:trPr>
          <w:trHeight w:val="953"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bookmarkStart w:id="66" w:name="_Toc407782809"/>
            <w:bookmarkEnd w:id="66"/>
            <w:bookmarkStart w:id="67" w:name="_Toc407782695"/>
            <w:bookmarkEnd w:id="67"/>
            <w:r>
              <w:rPr>
                <w:rFonts w:hint="eastAsia" w:ascii="宋体" w:hAnsi="宋体" w:eastAsia="宋体" w:cs="宋体"/>
                <w:color w:val="auto"/>
                <w:sz w:val="24"/>
              </w:rPr>
              <w:t>总体要求</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符合国家有关规范、标准，性能良好。</w:t>
            </w:r>
          </w:p>
        </w:tc>
      </w:tr>
      <w:tr>
        <w:tblPrEx>
          <w:tblLayout w:type="fixed"/>
          <w:tblCellMar>
            <w:top w:w="0" w:type="dxa"/>
            <w:left w:w="10" w:type="dxa"/>
            <w:bottom w:w="0" w:type="dxa"/>
            <w:right w:w="10" w:type="dxa"/>
          </w:tblCellMar>
        </w:tblPrEx>
        <w:trPr>
          <w:trHeight w:val="1298"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bookmarkStart w:id="68" w:name="_Toc407782811"/>
            <w:bookmarkEnd w:id="68"/>
            <w:bookmarkStart w:id="69" w:name="_Toc407782697"/>
            <w:bookmarkEnd w:id="69"/>
            <w:r>
              <w:rPr>
                <w:rFonts w:hint="eastAsia" w:ascii="宋体" w:hAnsi="宋体" w:eastAsia="宋体" w:cs="宋体"/>
                <w:color w:val="auto"/>
                <w:sz w:val="24"/>
              </w:rPr>
              <w:t>交货地点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2" w:firstLine="281"/>
              <w:jc w:val="center"/>
              <w:rPr>
                <w:rFonts w:hint="eastAsia" w:ascii="宋体" w:hAnsi="宋体" w:eastAsia="宋体" w:cs="宋体"/>
                <w:color w:val="auto"/>
                <w:sz w:val="24"/>
              </w:rPr>
            </w:pPr>
            <w:r>
              <w:rPr>
                <w:rFonts w:hint="eastAsia" w:ascii="宋体" w:hAnsi="宋体" w:eastAsia="宋体" w:cs="宋体"/>
                <w:color w:val="auto"/>
                <w:sz w:val="24"/>
                <w:lang w:val="en-US" w:eastAsia="zh-CN"/>
              </w:rPr>
              <w:t>广州市南沙区榄核镇榄张路51号广州电缆厂有限</w:t>
            </w:r>
            <w:r>
              <w:rPr>
                <w:rFonts w:hint="eastAsia" w:ascii="宋体" w:hAnsi="宋体" w:eastAsia="宋体" w:cs="宋体"/>
                <w:color w:val="auto"/>
                <w:sz w:val="24"/>
              </w:rPr>
              <w:t>公司项目现场</w:t>
            </w:r>
          </w:p>
        </w:tc>
      </w:tr>
      <w:tr>
        <w:tblPrEx>
          <w:tblLayout w:type="fixed"/>
          <w:tblCellMar>
            <w:top w:w="0" w:type="dxa"/>
            <w:left w:w="10" w:type="dxa"/>
            <w:bottom w:w="0" w:type="dxa"/>
            <w:right w:w="10" w:type="dxa"/>
          </w:tblCellMar>
        </w:tblPrEx>
        <w:trPr>
          <w:trHeight w:val="1297"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b/>
                <w:color w:val="auto"/>
                <w:sz w:val="24"/>
              </w:rPr>
            </w:pPr>
            <w:bookmarkStart w:id="70" w:name="_Toc407782815"/>
            <w:bookmarkEnd w:id="70"/>
            <w:bookmarkStart w:id="71" w:name="_Toc407782701"/>
            <w:bookmarkEnd w:id="71"/>
            <w:r>
              <w:rPr>
                <w:rFonts w:hint="eastAsia" w:ascii="宋体" w:hAnsi="宋体" w:eastAsia="宋体" w:cs="宋体"/>
                <w:b/>
                <w:color w:val="auto"/>
                <w:sz w:val="24"/>
              </w:rPr>
              <w:t>交货时间</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ind w:firstLine="2880" w:firstLineChars="1200"/>
              <w:jc w:val="both"/>
              <w:rPr>
                <w:rFonts w:hint="eastAsia" w:ascii="宋体" w:hAnsi="宋体" w:eastAsia="宋体" w:cs="宋体"/>
                <w:strike/>
                <w:color w:val="auto"/>
                <w:sz w:val="24"/>
                <w:lang w:val="en-US" w:eastAsia="zh-CN"/>
              </w:rPr>
            </w:pPr>
            <w:r>
              <w:rPr>
                <w:rFonts w:hint="eastAsia" w:ascii="宋体" w:hAnsi="宋体" w:cs="宋体"/>
                <w:color w:val="auto"/>
                <w:sz w:val="24"/>
                <w:lang w:val="en-US" w:eastAsia="zh-CN"/>
              </w:rPr>
              <w:t>210日历日</w:t>
            </w:r>
          </w:p>
        </w:tc>
      </w:tr>
    </w:tbl>
    <w:p>
      <w:pPr>
        <w:rPr>
          <w:rFonts w:hint="eastAsia" w:ascii="宋体" w:hAnsi="宋体" w:eastAsia="宋体" w:cs="宋体"/>
          <w:color w:val="auto"/>
        </w:rPr>
      </w:pPr>
      <w:r>
        <w:rPr>
          <w:rFonts w:hint="eastAsia" w:ascii="宋体" w:hAnsi="宋体" w:eastAsia="宋体" w:cs="宋体"/>
          <w:color w:val="auto"/>
        </w:rPr>
        <w:br w:type="page"/>
      </w:r>
    </w:p>
    <w:p>
      <w:pPr>
        <w:pStyle w:val="63"/>
        <w:ind w:left="0" w:leftChars="0" w:firstLine="4216" w:firstLineChars="1500"/>
        <w:jc w:val="both"/>
        <w:rPr>
          <w:rFonts w:hint="eastAsia" w:ascii="宋体" w:hAnsi="宋体" w:eastAsia="宋体" w:cs="宋体"/>
          <w:color w:val="auto"/>
          <w:sz w:val="28"/>
          <w:szCs w:val="28"/>
        </w:rPr>
      </w:pPr>
      <w:bookmarkStart w:id="72" w:name="_Toc42003709"/>
      <w:bookmarkEnd w:id="72"/>
      <w:r>
        <w:rPr>
          <w:rFonts w:hint="eastAsia" w:ascii="宋体" w:hAnsi="宋体" w:eastAsia="宋体" w:cs="宋体"/>
          <w:b/>
          <w:bCs/>
          <w:color w:val="auto"/>
          <w:sz w:val="28"/>
          <w:szCs w:val="28"/>
        </w:rPr>
        <w:t>技术要求</w:t>
      </w:r>
    </w:p>
    <w:p>
      <w:pPr>
        <w:rPr>
          <w:rFonts w:hint="eastAsia" w:ascii="宋体" w:hAnsi="宋体" w:eastAsia="宋体" w:cs="宋体"/>
          <w:color w:val="auto"/>
        </w:rPr>
      </w:pPr>
      <w:r>
        <w:rPr>
          <w:rFonts w:hint="eastAsia" w:ascii="宋体" w:hAnsi="宋体" w:eastAsia="宋体" w:cs="宋体"/>
          <w:b/>
          <w:bCs/>
          <w:color w:val="auto"/>
          <w:sz w:val="22"/>
          <w:szCs w:val="22"/>
          <w:lang w:eastAsia="zh-CN"/>
        </w:rPr>
        <w:t>（</w:t>
      </w:r>
      <w:r>
        <w:rPr>
          <w:rFonts w:hint="eastAsia" w:ascii="宋体" w:hAnsi="宋体" w:eastAsia="宋体" w:cs="宋体"/>
          <w:b/>
          <w:bCs/>
          <w:color w:val="auto"/>
          <w:sz w:val="22"/>
          <w:szCs w:val="22"/>
          <w:lang w:val="en-US" w:eastAsia="zh-CN"/>
        </w:rPr>
        <w:t>须符合国家相关安环等相关法律法规，禁止使用国家淘汰目录产品，否则进行退货和追赔</w:t>
      </w:r>
      <w:r>
        <w:rPr>
          <w:rFonts w:hint="eastAsia" w:ascii="宋体" w:hAnsi="宋体" w:eastAsia="宋体" w:cs="宋体"/>
          <w:b/>
          <w:bCs/>
          <w:color w:val="auto"/>
          <w:sz w:val="22"/>
          <w:szCs w:val="22"/>
          <w:lang w:eastAsia="zh-CN"/>
        </w:rPr>
        <w:t>）</w:t>
      </w:r>
    </w:p>
    <w:p>
      <w:pPr>
        <w:snapToGrid w:val="0"/>
        <w:spacing w:line="760" w:lineRule="exact"/>
        <w:outlineLvl w:val="0"/>
        <w:rPr>
          <w:rFonts w:hint="eastAsia" w:ascii="宋体" w:hAnsi="宋体" w:eastAsia="宋体" w:cs="宋体"/>
          <w:color w:val="auto"/>
          <w:szCs w:val="21"/>
        </w:rPr>
      </w:pPr>
      <w:r>
        <w:rPr>
          <w:rFonts w:hint="eastAsia" w:ascii="宋体" w:hAnsi="宋体" w:eastAsia="宋体" w:cs="宋体"/>
          <w:b/>
          <w:color w:val="auto"/>
          <w:szCs w:val="21"/>
        </w:rPr>
        <w:t>一、设备配置：</w:t>
      </w:r>
      <w:r>
        <w:rPr>
          <w:rFonts w:hint="eastAsia" w:ascii="宋体" w:hAnsi="宋体" w:eastAsia="宋体" w:cs="宋体"/>
          <w:color w:val="auto"/>
          <w:szCs w:val="21"/>
        </w:rPr>
        <w:t xml:space="preserve"> </w:t>
      </w:r>
    </w:p>
    <w:tbl>
      <w:tblPr>
        <w:tblStyle w:val="42"/>
        <w:tblW w:w="9288"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5433"/>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9288" w:type="dxa"/>
            <w:gridSpan w:val="3"/>
            <w:vAlign w:val="center"/>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设备组成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6823" w:type="dxa"/>
            <w:gridSpan w:val="2"/>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配置项</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1</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lang w:val="en-US" w:eastAsia="zh-CN"/>
              </w:rPr>
              <w:t>双</w:t>
            </w:r>
            <w:r>
              <w:rPr>
                <w:rFonts w:hint="eastAsia" w:ascii="宋体" w:hAnsi="宋体" w:eastAsia="宋体" w:cs="宋体"/>
                <w:color w:val="auto"/>
                <w:sz w:val="24"/>
              </w:rPr>
              <w:t>工位摆臂式放线架</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color w:val="auto"/>
                <w:sz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2</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lang w:val="en-US" w:eastAsia="zh-CN"/>
              </w:rPr>
              <w:t>分电机</w:t>
            </w:r>
            <w:r>
              <w:rPr>
                <w:rFonts w:hint="eastAsia" w:ascii="宋体" w:hAnsi="宋体" w:eastAsia="宋体" w:cs="宋体"/>
                <w:color w:val="auto"/>
                <w:sz w:val="24"/>
              </w:rPr>
              <w:t>拉线主机</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color w:val="auto"/>
                <w:sz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3</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lang w:val="en-US" w:eastAsia="zh-CN"/>
              </w:rPr>
              <w:t>连续</w:t>
            </w:r>
            <w:r>
              <w:rPr>
                <w:rFonts w:hint="eastAsia" w:ascii="宋体" w:hAnsi="宋体" w:eastAsia="宋体" w:cs="宋体"/>
                <w:color w:val="auto"/>
                <w:sz w:val="24"/>
              </w:rPr>
              <w:t xml:space="preserve">退火机 </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rPr>
            </w:pPr>
            <w:r>
              <w:rPr>
                <w:rFonts w:hint="eastAsia" w:ascii="宋体" w:hAnsi="宋体" w:eastAsia="宋体" w:cs="宋体"/>
                <w:color w:val="auto"/>
                <w:sz w:val="24"/>
              </w:rPr>
              <w:t>1套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4</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rPr>
              <w:t>张力储线装置</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color w:val="auto"/>
                <w:sz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5</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rPr>
              <w:t>630</w:t>
            </w:r>
            <w:r>
              <w:rPr>
                <w:rFonts w:hint="eastAsia" w:ascii="宋体" w:hAnsi="宋体" w:eastAsia="宋体" w:cs="宋体"/>
                <w:color w:val="auto"/>
                <w:sz w:val="24"/>
                <w:lang w:val="en-US" w:eastAsia="zh-CN"/>
              </w:rPr>
              <w:t>型</w:t>
            </w:r>
            <w:r>
              <w:rPr>
                <w:rFonts w:hint="eastAsia" w:ascii="宋体" w:hAnsi="宋体" w:eastAsia="宋体" w:cs="宋体"/>
                <w:color w:val="auto"/>
                <w:sz w:val="24"/>
              </w:rPr>
              <w:t xml:space="preserve">双盘收线机 </w:t>
            </w:r>
          </w:p>
        </w:tc>
        <w:tc>
          <w:tcPr>
            <w:tcW w:w="2465" w:type="dxa"/>
            <w:vAlign w:val="top"/>
          </w:tcPr>
          <w:p>
            <w:pPr>
              <w:adjustRightInd w:val="0"/>
              <w:snapToGrid w:val="0"/>
              <w:spacing w:line="380" w:lineRule="atLeast"/>
              <w:jc w:val="center"/>
              <w:rPr>
                <w:rFonts w:hint="eastAsia" w:ascii="宋体" w:hAnsi="宋体" w:eastAsia="宋体" w:cs="宋体"/>
                <w:color w:val="auto"/>
                <w:sz w:val="24"/>
              </w:rPr>
            </w:pPr>
            <w:r>
              <w:rPr>
                <w:rFonts w:hint="eastAsia" w:ascii="宋体" w:hAnsi="宋体" w:eastAsia="宋体" w:cs="宋体"/>
                <w:color w:val="auto"/>
                <w:sz w:val="24"/>
              </w:rPr>
              <w:t>2套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6</w:t>
            </w:r>
          </w:p>
        </w:tc>
        <w:tc>
          <w:tcPr>
            <w:tcW w:w="5433" w:type="dxa"/>
            <w:vAlign w:val="top"/>
          </w:tcPr>
          <w:p>
            <w:pPr>
              <w:spacing w:line="360" w:lineRule="auto"/>
              <w:jc w:val="left"/>
              <w:rPr>
                <w:rFonts w:hint="eastAsia" w:ascii="宋体" w:hAnsi="宋体" w:eastAsia="宋体" w:cs="宋体"/>
                <w:b/>
                <w:color w:val="auto"/>
                <w:szCs w:val="21"/>
              </w:rPr>
            </w:pPr>
            <w:r>
              <w:rPr>
                <w:rFonts w:hint="eastAsia" w:ascii="宋体" w:hAnsi="宋体" w:eastAsia="宋体" w:cs="宋体"/>
                <w:color w:val="auto"/>
                <w:sz w:val="24"/>
              </w:rPr>
              <w:t>800梅花</w:t>
            </w:r>
            <w:r>
              <w:rPr>
                <w:rFonts w:hint="eastAsia" w:ascii="宋体" w:hAnsi="宋体" w:eastAsia="宋体" w:cs="宋体"/>
                <w:color w:val="auto"/>
                <w:sz w:val="24"/>
                <w:lang w:val="en-US" w:eastAsia="zh-CN"/>
              </w:rPr>
              <w:t>落线</w:t>
            </w:r>
            <w:r>
              <w:rPr>
                <w:rFonts w:hint="eastAsia" w:ascii="宋体" w:hAnsi="宋体" w:eastAsia="宋体" w:cs="宋体"/>
                <w:color w:val="auto"/>
                <w:sz w:val="24"/>
              </w:rPr>
              <w:t xml:space="preserve">机 </w:t>
            </w:r>
          </w:p>
        </w:tc>
        <w:tc>
          <w:tcPr>
            <w:tcW w:w="2465" w:type="dxa"/>
            <w:vAlign w:val="top"/>
          </w:tcPr>
          <w:p>
            <w:pPr>
              <w:adjustRightInd w:val="0"/>
              <w:snapToGrid w:val="0"/>
              <w:spacing w:line="380" w:lineRule="atLeast"/>
              <w:jc w:val="center"/>
              <w:rPr>
                <w:rFonts w:hint="eastAsia" w:ascii="宋体" w:hAnsi="宋体" w:eastAsia="宋体" w:cs="宋体"/>
                <w:color w:val="auto"/>
                <w:sz w:val="24"/>
              </w:rPr>
            </w:pPr>
            <w:r>
              <w:rPr>
                <w:rFonts w:hint="eastAsia" w:ascii="宋体" w:hAnsi="宋体" w:cs="宋体"/>
                <w:color w:val="auto"/>
                <w:sz w:val="24"/>
                <w:lang w:val="en-US" w:eastAsia="zh-CN"/>
              </w:rPr>
              <w:t>1</w:t>
            </w:r>
            <w:r>
              <w:rPr>
                <w:rFonts w:hint="eastAsia" w:ascii="宋体" w:hAnsi="宋体" w:eastAsia="宋体" w:cs="宋体"/>
                <w:color w:val="auto"/>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7</w:t>
            </w:r>
          </w:p>
        </w:tc>
        <w:tc>
          <w:tcPr>
            <w:tcW w:w="5433" w:type="dxa"/>
            <w:vAlign w:val="top"/>
          </w:tcPr>
          <w:p>
            <w:pPr>
              <w:spacing w:line="360" w:lineRule="auto"/>
              <w:jc w:val="left"/>
              <w:rPr>
                <w:rFonts w:hint="eastAsia" w:ascii="宋体" w:hAnsi="宋体" w:eastAsia="宋体" w:cs="宋体"/>
                <w:b/>
                <w:color w:val="auto"/>
                <w:szCs w:val="21"/>
                <w:highlight w:val="none"/>
              </w:rPr>
            </w:pPr>
            <w:r>
              <w:rPr>
                <w:rFonts w:hint="eastAsia" w:ascii="宋体" w:hAnsi="宋体" w:eastAsia="宋体" w:cs="宋体"/>
                <w:color w:val="auto"/>
                <w:sz w:val="24"/>
                <w:highlight w:val="none"/>
              </w:rPr>
              <w:t>电气控制系统</w:t>
            </w:r>
          </w:p>
        </w:tc>
        <w:tc>
          <w:tcPr>
            <w:tcW w:w="2465" w:type="dxa"/>
            <w:vAlign w:val="top"/>
          </w:tcPr>
          <w:p>
            <w:pPr>
              <w:adjustRightInd w:val="0"/>
              <w:snapToGrid w:val="0"/>
              <w:spacing w:line="380" w:lineRule="atLeas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8</w:t>
            </w:r>
          </w:p>
        </w:tc>
        <w:tc>
          <w:tcPr>
            <w:tcW w:w="5433" w:type="dxa"/>
            <w:vAlign w:val="top"/>
          </w:tcPr>
          <w:p>
            <w:pPr>
              <w:spacing w:line="360" w:lineRule="auto"/>
              <w:jc w:val="left"/>
              <w:rPr>
                <w:rFonts w:hint="eastAsia" w:ascii="宋体" w:hAnsi="宋体" w:eastAsia="宋体" w:cs="宋体"/>
                <w:b/>
                <w:color w:val="auto"/>
                <w:szCs w:val="21"/>
                <w:highlight w:val="none"/>
              </w:rPr>
            </w:pPr>
            <w:r>
              <w:rPr>
                <w:rFonts w:hint="eastAsia" w:ascii="宋体" w:hAnsi="宋体" w:cs="宋体"/>
                <w:color w:val="auto"/>
                <w:sz w:val="24"/>
                <w:highlight w:val="none"/>
                <w:lang w:val="en-US" w:eastAsia="zh-CN"/>
              </w:rPr>
              <w:t>减速箱润滑冷却系统</w:t>
            </w:r>
          </w:p>
        </w:tc>
        <w:tc>
          <w:tcPr>
            <w:tcW w:w="2465" w:type="dxa"/>
            <w:vAlign w:val="top"/>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sz w:val="24"/>
                <w:highlight w:val="none"/>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9</w:t>
            </w:r>
          </w:p>
        </w:tc>
        <w:tc>
          <w:tcPr>
            <w:tcW w:w="5433" w:type="dxa"/>
            <w:vAlign w:val="top"/>
          </w:tcPr>
          <w:p>
            <w:pPr>
              <w:spacing w:line="360" w:lineRule="auto"/>
              <w:jc w:val="left"/>
              <w:rPr>
                <w:rFonts w:hint="eastAsia" w:ascii="宋体" w:hAnsi="宋体" w:eastAsia="宋体" w:cs="宋体"/>
                <w:b/>
                <w:color w:val="auto"/>
                <w:szCs w:val="21"/>
                <w:highlight w:val="none"/>
              </w:rPr>
            </w:pPr>
            <w:r>
              <w:rPr>
                <w:rFonts w:hint="eastAsia" w:ascii="宋体" w:hAnsi="宋体" w:eastAsia="宋体" w:cs="宋体"/>
                <w:color w:val="auto"/>
                <w:sz w:val="24"/>
                <w:highlight w:val="none"/>
              </w:rPr>
              <w:t>退火铜轮冷却液供应站</w:t>
            </w:r>
          </w:p>
        </w:tc>
        <w:tc>
          <w:tcPr>
            <w:tcW w:w="2465" w:type="dxa"/>
            <w:vAlign w:val="top"/>
          </w:tcPr>
          <w:p>
            <w:pPr>
              <w:adjustRightInd w:val="0"/>
              <w:snapToGrid w:val="0"/>
              <w:spacing w:line="380" w:lineRule="atLeas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10</w:t>
            </w:r>
          </w:p>
        </w:tc>
        <w:tc>
          <w:tcPr>
            <w:tcW w:w="5433" w:type="dxa"/>
            <w:vAlign w:val="top"/>
          </w:tcPr>
          <w:p>
            <w:pPr>
              <w:spacing w:line="360" w:lineRule="auto"/>
              <w:jc w:val="left"/>
              <w:rPr>
                <w:rFonts w:hint="eastAsia" w:ascii="宋体" w:hAnsi="宋体" w:eastAsia="宋体" w:cs="宋体"/>
                <w:b/>
                <w:color w:val="auto"/>
                <w:szCs w:val="21"/>
                <w:highlight w:val="none"/>
              </w:rPr>
            </w:pPr>
            <w:r>
              <w:rPr>
                <w:rFonts w:hint="eastAsia" w:ascii="宋体" w:hAnsi="宋体" w:eastAsia="宋体" w:cs="宋体"/>
                <w:color w:val="auto"/>
                <w:sz w:val="24"/>
                <w:highlight w:val="none"/>
              </w:rPr>
              <w:t>铜粉过滤机</w:t>
            </w:r>
          </w:p>
        </w:tc>
        <w:tc>
          <w:tcPr>
            <w:tcW w:w="2465" w:type="dxa"/>
            <w:vAlign w:val="top"/>
          </w:tcPr>
          <w:p>
            <w:pPr>
              <w:adjustRightInd w:val="0"/>
              <w:snapToGrid w:val="0"/>
              <w:spacing w:line="380" w:lineRule="atLeas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随机物品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安装配件</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设备连接电缆（采用地沟布置，不含主电源进线，配线长度按供方设备标准基础布置图配给）</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color w:val="auto"/>
                <w:szCs w:val="21"/>
                <w:highlight w:val="none"/>
              </w:rPr>
              <w:t>3、连接导电铜排；（</w:t>
            </w:r>
            <w:r>
              <w:rPr>
                <w:rFonts w:hint="eastAsia" w:ascii="Calibri" w:hAnsi="Calibri"/>
                <w:color w:val="auto"/>
                <w:szCs w:val="21"/>
                <w:highlight w:val="none"/>
              </w:rPr>
              <w:t>注</w:t>
            </w:r>
            <w:r>
              <w:rPr>
                <w:rFonts w:ascii="Calibri" w:hAnsi="Calibri"/>
                <w:color w:val="auto"/>
                <w:szCs w:val="21"/>
                <w:highlight w:val="none"/>
              </w:rPr>
              <w:t>:</w:t>
            </w:r>
            <w:r>
              <w:rPr>
                <w:rFonts w:hint="eastAsia" w:ascii="宋体" w:hAnsi="宋体"/>
                <w:color w:val="auto"/>
                <w:szCs w:val="21"/>
                <w:highlight w:val="none"/>
              </w:rPr>
              <w:t xml:space="preserve"> 采用架空安装，连接导电铜排</w:t>
            </w:r>
            <w:r>
              <w:rPr>
                <w:rFonts w:hint="eastAsia" w:ascii="Calibri" w:hAnsi="Calibri"/>
                <w:color w:val="auto"/>
                <w:szCs w:val="21"/>
                <w:highlight w:val="none"/>
              </w:rPr>
              <w:t>长度按设备的标准地基图提供。）</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1390" w:type="dxa"/>
            <w:vAlign w:val="center"/>
          </w:tcPr>
          <w:p>
            <w:pPr>
              <w:spacing w:line="360" w:lineRule="auto"/>
              <w:rPr>
                <w:rFonts w:hint="eastAsia"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联动要求</w:t>
            </w:r>
          </w:p>
        </w:tc>
        <w:tc>
          <w:tcPr>
            <w:tcW w:w="5433" w:type="dxa"/>
            <w:vAlign w:val="center"/>
          </w:tcPr>
          <w:p>
            <w:pPr>
              <w:spacing w:line="360" w:lineRule="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eastAsia="zh-CN"/>
              </w:rPr>
              <w:t>我</w:t>
            </w:r>
            <w:r>
              <w:rPr>
                <w:rFonts w:hint="eastAsia" w:ascii="宋体" w:hAnsi="宋体" w:cs="宋体"/>
                <w:color w:val="auto"/>
                <w:szCs w:val="21"/>
                <w:highlight w:val="none"/>
                <w:lang w:val="en-US" w:eastAsia="zh-CN"/>
              </w:rPr>
              <w:t>厂现有一台2012年永雄品牌梅花落线机，新购设备需要配套这台梅花落线联动使用</w:t>
            </w:r>
          </w:p>
        </w:tc>
        <w:tc>
          <w:tcPr>
            <w:tcW w:w="2465" w:type="dxa"/>
            <w:vAlign w:val="center"/>
          </w:tcPr>
          <w:p>
            <w:pPr>
              <w:spacing w:line="360" w:lineRule="auto"/>
              <w:jc w:val="center"/>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技术资料</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使用说明书（含：操作说明、参考配模表、安装图、故障排除、维修保养、部分易损件图纸、电器原理图等。）</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主要电气元件说明书</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设备基础布置图（含：水、电、气指示连接图，按供方技术要求执行）</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设备颜色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主要部件</w:t>
            </w:r>
          </w:p>
        </w:tc>
        <w:tc>
          <w:tcPr>
            <w:tcW w:w="7898" w:type="dxa"/>
            <w:gridSpan w:val="2"/>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机械主体</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RAL501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浅蓝色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电控柜</w:t>
            </w:r>
          </w:p>
        </w:tc>
        <w:tc>
          <w:tcPr>
            <w:tcW w:w="7898" w:type="dxa"/>
            <w:gridSpan w:val="2"/>
            <w:vAlign w:val="center"/>
          </w:tcPr>
          <w:p>
            <w:pPr>
              <w:numPr>
                <w:ilvl w:val="0"/>
                <w:numId w:val="0"/>
              </w:numPr>
              <w:adjustRightInd w:val="0"/>
              <w:snapToGrid w:val="0"/>
              <w:spacing w:line="3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RAL9010 乳白色</w:t>
            </w:r>
          </w:p>
          <w:p>
            <w:pPr>
              <w:snapToGrid w:val="0"/>
              <w:spacing w:line="360" w:lineRule="auto"/>
              <w:ind w:left="32"/>
              <w:jc w:val="center"/>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防护门、罩及转动部件</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 200</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橙红色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不锈钢件</w:t>
            </w:r>
          </w:p>
        </w:tc>
        <w:tc>
          <w:tcPr>
            <w:tcW w:w="7898" w:type="dxa"/>
            <w:gridSpan w:val="2"/>
            <w:vAlign w:val="top"/>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原色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其他按供方厂标执行。当选择国际色标时，由供方根据色标打版提供给需方确认，按双方确</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认的色版执行喷漆。需方理解并同意接受允许存在色差变化。需方应在收到供方所提供的色日</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算一周内给供方盖章确认色版并回寄给供方，逾期则交货期顺延。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操作方向：</w:t>
            </w:r>
          </w:p>
        </w:tc>
        <w:tc>
          <w:tcPr>
            <w:tcW w:w="7898" w:type="dxa"/>
            <w:gridSpan w:val="2"/>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右向，操作人员面向拉丝主机，由左边进线，右边收线。</w:t>
            </w:r>
          </w:p>
        </w:tc>
      </w:tr>
    </w:tbl>
    <w:p>
      <w:pPr>
        <w:snapToGrid w:val="0"/>
        <w:spacing w:line="560" w:lineRule="exact"/>
        <w:outlineLvl w:val="0"/>
        <w:rPr>
          <w:rFonts w:hint="eastAsia" w:ascii="宋体" w:hAnsi="宋体" w:eastAsia="宋体" w:cs="宋体"/>
          <w:color w:val="auto"/>
          <w:szCs w:val="21"/>
          <w:highlight w:val="none"/>
        </w:rPr>
      </w:pPr>
      <w:r>
        <w:rPr>
          <w:rFonts w:hint="eastAsia" w:ascii="宋体" w:hAnsi="宋体" w:eastAsia="宋体" w:cs="宋体"/>
          <w:b/>
          <w:color w:val="auto"/>
          <w:szCs w:val="21"/>
          <w:highlight w:val="none"/>
          <w:lang w:val="en-US" w:eastAsia="zh-CN"/>
        </w:rPr>
        <w:t>二</w:t>
      </w:r>
      <w:r>
        <w:rPr>
          <w:rFonts w:hint="eastAsia" w:ascii="宋体" w:hAnsi="宋体" w:eastAsia="宋体" w:cs="宋体"/>
          <w:b/>
          <w:color w:val="auto"/>
          <w:szCs w:val="21"/>
          <w:highlight w:val="none"/>
        </w:rPr>
        <w:t>、总体设备参数</w:t>
      </w:r>
      <w:r>
        <w:rPr>
          <w:rFonts w:hint="eastAsia" w:ascii="宋体" w:hAnsi="宋体" w:eastAsia="宋体" w:cs="宋体"/>
          <w:color w:val="auto"/>
          <w:szCs w:val="21"/>
          <w:highlight w:val="none"/>
        </w:rPr>
        <w:t>：</w:t>
      </w:r>
    </w:p>
    <w:tbl>
      <w:tblPr>
        <w:tblStyle w:val="42"/>
        <w:tblpPr w:leftFromText="180" w:rightFromText="180" w:vertAnchor="text" w:horzAnchor="margin" w:tblpXSpec="center" w:tblpY="105"/>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2518"/>
        <w:gridCol w:w="4006"/>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3014" w:type="dxa"/>
            <w:gridSpan w:val="2"/>
            <w:vAlign w:val="top"/>
          </w:tcPr>
          <w:p>
            <w:pPr>
              <w:snapToGrid w:val="0"/>
              <w:spacing w:line="30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参数项</w:t>
            </w:r>
          </w:p>
        </w:tc>
        <w:tc>
          <w:tcPr>
            <w:tcW w:w="4006" w:type="dxa"/>
            <w:vAlign w:val="top"/>
          </w:tcPr>
          <w:p>
            <w:pPr>
              <w:snapToGrid w:val="0"/>
              <w:spacing w:line="30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参数</w:t>
            </w:r>
          </w:p>
        </w:tc>
        <w:tc>
          <w:tcPr>
            <w:tcW w:w="2025" w:type="dxa"/>
            <w:vAlign w:val="top"/>
          </w:tcPr>
          <w:p>
            <w:pPr>
              <w:snapToGrid w:val="0"/>
              <w:spacing w:line="300" w:lineRule="exact"/>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进线直径</w:t>
            </w:r>
            <w:r>
              <w:rPr>
                <w:rFonts w:hint="eastAsia" w:ascii="宋体" w:hAnsi="宋体" w:eastAsia="宋体" w:cs="宋体"/>
                <w:color w:val="auto"/>
                <w:sz w:val="24"/>
                <w:highlight w:val="none"/>
              </w:rPr>
              <w:tab/>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铜杆</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Φ8.0mm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出线直径</w:t>
            </w:r>
          </w:p>
        </w:tc>
        <w:tc>
          <w:tcPr>
            <w:tcW w:w="4006" w:type="dxa"/>
            <w:vAlign w:val="top"/>
          </w:tcPr>
          <w:p>
            <w:pPr>
              <w:numPr>
                <w:ilvl w:val="0"/>
                <w:numId w:val="0"/>
              </w:numPr>
              <w:adjustRightInd w:val="0"/>
              <w:spacing w:line="380" w:lineRule="atLeast"/>
              <w:textAlignment w:val="baseline"/>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 xml:space="preserve"> </w:t>
            </w:r>
            <w:r>
              <w:rPr>
                <w:rFonts w:hint="eastAsia" w:ascii="宋体" w:hAnsi="宋体" w:eastAsia="宋体" w:cs="宋体"/>
                <w:color w:val="auto"/>
                <w:sz w:val="20"/>
                <w:szCs w:val="20"/>
                <w:highlight w:val="none"/>
                <w:lang w:val="en-US" w:eastAsia="zh-CN"/>
              </w:rPr>
              <w:t>2×</w:t>
            </w:r>
            <w:r>
              <w:rPr>
                <w:rFonts w:hint="eastAsia" w:ascii="宋体" w:hAnsi="宋体" w:eastAsia="宋体" w:cs="宋体"/>
                <w:color w:val="auto"/>
                <w:sz w:val="20"/>
                <w:szCs w:val="20"/>
                <w:highlight w:val="none"/>
              </w:rPr>
              <w:t>Φ1.6～Φ</w:t>
            </w:r>
            <w:r>
              <w:rPr>
                <w:rFonts w:hint="eastAsia" w:ascii="宋体" w:hAnsi="宋体" w:eastAsia="宋体" w:cs="宋体"/>
                <w:color w:val="auto"/>
                <w:sz w:val="20"/>
                <w:szCs w:val="20"/>
                <w:highlight w:val="none"/>
                <w:lang w:val="en-US" w:eastAsia="zh-CN"/>
              </w:rPr>
              <w:t>3</w:t>
            </w:r>
            <w:r>
              <w:rPr>
                <w:rFonts w:hint="eastAsia" w:ascii="宋体" w:hAnsi="宋体" w:eastAsia="宋体" w:cs="宋体"/>
                <w:color w:val="auto"/>
                <w:sz w:val="20"/>
                <w:szCs w:val="20"/>
                <w:highlight w:val="none"/>
              </w:rPr>
              <w:t xml:space="preserve">.5mm </w:t>
            </w:r>
            <w:r>
              <w:rPr>
                <w:rFonts w:hint="eastAsia" w:ascii="宋体" w:hAnsi="宋体" w:eastAsia="宋体" w:cs="宋体"/>
                <w:color w:val="auto"/>
                <w:sz w:val="20"/>
                <w:szCs w:val="20"/>
                <w:highlight w:val="none"/>
                <w:lang w:val="en-US" w:eastAsia="zh-CN"/>
              </w:rPr>
              <w:t>或1×1.6~4.5mm</w:t>
            </w:r>
          </w:p>
          <w:p>
            <w:pPr>
              <w:snapToGrid w:val="0"/>
              <w:spacing w:line="300" w:lineRule="exact"/>
              <w:jc w:val="left"/>
              <w:outlineLvl w:val="0"/>
              <w:rPr>
                <w:rFonts w:hint="eastAsia" w:ascii="宋体" w:hAnsi="宋体" w:eastAsia="宋体" w:cs="宋体"/>
                <w:color w:val="auto"/>
                <w:szCs w:val="21"/>
                <w:highlight w:val="none"/>
              </w:rPr>
            </w:pP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拉线鼓轮直径</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不低于</w:t>
            </w:r>
            <w:r>
              <w:rPr>
                <w:rFonts w:hint="eastAsia" w:ascii="宋体" w:hAnsi="宋体" w:eastAsia="宋体" w:cs="宋体"/>
                <w:color w:val="auto"/>
                <w:sz w:val="24"/>
                <w:highlight w:val="none"/>
              </w:rPr>
              <w:t>Φ450 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拉丝轮大小统一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cs="宋体"/>
                <w:b/>
                <w:color w:val="auto"/>
                <w:szCs w:val="21"/>
                <w:highlight w:val="none"/>
                <w:lang w:val="en-US" w:eastAsia="zh-CN"/>
              </w:rPr>
              <w:t>△</w:t>
            </w:r>
            <w:r>
              <w:rPr>
                <w:rFonts w:hint="eastAsia" w:ascii="宋体" w:hAnsi="宋体" w:eastAsia="宋体" w:cs="宋体"/>
                <w:color w:val="auto"/>
                <w:sz w:val="24"/>
                <w:highlight w:val="none"/>
                <w:lang w:val="en-US" w:eastAsia="zh-CN"/>
              </w:rPr>
              <w:t>主机模数</w:t>
            </w:r>
            <w:r>
              <w:rPr>
                <w:rFonts w:hint="eastAsia" w:ascii="宋体" w:hAnsi="宋体" w:eastAsia="宋体" w:cs="宋体"/>
                <w:color w:val="auto"/>
                <w:sz w:val="24"/>
                <w:highlight w:val="none"/>
              </w:rPr>
              <w:t xml:space="preserve">   </w:t>
            </w:r>
          </w:p>
        </w:tc>
        <w:tc>
          <w:tcPr>
            <w:tcW w:w="4006" w:type="dxa"/>
            <w:vAlign w:val="center"/>
          </w:tcPr>
          <w:p>
            <w:pPr>
              <w:snapToGrid w:val="0"/>
              <w:spacing w:line="300" w:lineRule="exact"/>
              <w:jc w:val="center"/>
              <w:outlineLvl w:val="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11模</w:t>
            </w:r>
          </w:p>
          <w:p>
            <w:pPr>
              <w:snapToGrid w:val="0"/>
              <w:spacing w:line="300" w:lineRule="exact"/>
              <w:jc w:val="center"/>
              <w:outlineLvl w:val="0"/>
              <w:rPr>
                <w:rFonts w:hint="eastAsia" w:ascii="宋体" w:hAnsi="宋体" w:eastAsia="宋体" w:cs="宋体"/>
                <w:color w:val="auto"/>
                <w:szCs w:val="21"/>
                <w:highlight w:val="none"/>
              </w:rPr>
            </w:pP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拉线模外形尺寸</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53×35 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拉丝电机 </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color w:val="auto"/>
                <w:highlight w:val="none"/>
              </w:rPr>
              <w:t>上海福赞伺服电机或同等品牌</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定速轮电机</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color w:val="auto"/>
                <w:highlight w:val="none"/>
              </w:rPr>
              <w:t>上海福赞伺服电机或同等品牌</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cs="宋体"/>
                <w:b/>
                <w:color w:val="auto"/>
                <w:szCs w:val="21"/>
                <w:highlight w:val="none"/>
                <w:lang w:val="en-US" w:eastAsia="zh-CN"/>
              </w:rPr>
              <w:t>△</w:t>
            </w:r>
            <w:r>
              <w:rPr>
                <w:rFonts w:hint="eastAsia" w:ascii="宋体" w:hAnsi="宋体" w:eastAsia="宋体" w:cs="宋体"/>
                <w:color w:val="auto"/>
                <w:sz w:val="24"/>
                <w:highlight w:val="none"/>
                <w:lang w:val="en-US" w:eastAsia="zh-CN"/>
              </w:rPr>
              <w:t>退火功率</w:t>
            </w:r>
          </w:p>
        </w:tc>
        <w:tc>
          <w:tcPr>
            <w:tcW w:w="4006"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不低于530kw</w:t>
            </w:r>
          </w:p>
          <w:p>
            <w:pPr>
              <w:snapToGrid w:val="0"/>
              <w:spacing w:line="300" w:lineRule="exact"/>
              <w:jc w:val="left"/>
              <w:outlineLvl w:val="0"/>
              <w:rPr>
                <w:rFonts w:hint="eastAsia" w:ascii="宋体" w:hAnsi="宋体" w:eastAsia="宋体" w:cs="宋体"/>
                <w:color w:val="auto"/>
                <w:szCs w:val="21"/>
                <w:highlight w:val="none"/>
                <w:lang w:val="en-US" w:eastAsia="zh-CN"/>
              </w:rPr>
            </w:pP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cs="宋体"/>
                <w:b/>
                <w:color w:val="auto"/>
                <w:szCs w:val="21"/>
                <w:highlight w:val="none"/>
                <w:lang w:val="en-US" w:eastAsia="zh-CN"/>
              </w:rPr>
              <w:t>△</w:t>
            </w:r>
            <w:r>
              <w:rPr>
                <w:rFonts w:hint="eastAsia" w:ascii="宋体" w:hAnsi="宋体" w:eastAsia="宋体" w:cs="宋体"/>
                <w:color w:val="auto"/>
                <w:sz w:val="24"/>
                <w:highlight w:val="none"/>
                <w:lang w:val="en-US" w:eastAsia="zh-CN"/>
              </w:rPr>
              <w:t>退火电流</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不低于8000A</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cs="宋体"/>
                <w:b/>
                <w:color w:val="auto"/>
                <w:szCs w:val="21"/>
                <w:highlight w:val="none"/>
                <w:lang w:val="en-US" w:eastAsia="zh-CN"/>
              </w:rPr>
              <w:t>△</w:t>
            </w:r>
            <w:r>
              <w:rPr>
                <w:rFonts w:hint="eastAsia" w:ascii="宋体" w:hAnsi="宋体" w:eastAsia="宋体" w:cs="宋体"/>
                <w:color w:val="auto"/>
                <w:sz w:val="24"/>
                <w:highlight w:val="none"/>
                <w:lang w:val="en-US" w:eastAsia="zh-CN"/>
              </w:rPr>
              <w:t xml:space="preserve">双盘收线 </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 xml:space="preserve"> φ500和630mm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非全自动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8"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 xml:space="preserve">梅花落线框  </w:t>
            </w:r>
          </w:p>
        </w:tc>
        <w:tc>
          <w:tcPr>
            <w:tcW w:w="4006" w:type="dxa"/>
            <w:vAlign w:val="top"/>
          </w:tcPr>
          <w:p>
            <w:pPr>
              <w:spacing w:line="380" w:lineRule="atLeast"/>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内径Φ800，外径Φ1100mm</w:t>
            </w:r>
          </w:p>
          <w:p>
            <w:pPr>
              <w:snapToGrid w:val="0"/>
              <w:spacing w:line="300" w:lineRule="exact"/>
              <w:jc w:val="left"/>
              <w:outlineLvl w:val="0"/>
              <w:rPr>
                <w:rFonts w:hint="eastAsia" w:ascii="宋体" w:hAnsi="宋体" w:eastAsia="宋体" w:cs="宋体"/>
                <w:color w:val="auto"/>
                <w:szCs w:val="21"/>
                <w:highlight w:val="none"/>
              </w:rPr>
            </w:pP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图纸见附件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2518" w:type="dxa"/>
            <w:vAlign w:val="top"/>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设备方向</w:t>
            </w:r>
            <w:r>
              <w:rPr>
                <w:rFonts w:hint="eastAsia" w:ascii="宋体" w:hAnsi="宋体" w:eastAsia="宋体" w:cs="宋体"/>
                <w:color w:val="auto"/>
                <w:highlight w:val="none"/>
                <w:lang w:val="en-US" w:eastAsia="zh-CN"/>
              </w:rPr>
              <w:t xml:space="preserve"> </w:t>
            </w:r>
          </w:p>
        </w:tc>
        <w:tc>
          <w:tcPr>
            <w:tcW w:w="4006" w:type="dxa"/>
            <w:vAlign w:val="top"/>
          </w:tcPr>
          <w:p>
            <w:pPr>
              <w:snapToGrid w:val="0"/>
              <w:spacing w:line="300" w:lineRule="exact"/>
              <w:jc w:val="left"/>
              <w:outlineLvl w:val="0"/>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 xml:space="preserve"> </w:t>
            </w:r>
            <w:r>
              <w:rPr>
                <w:rFonts w:hint="eastAsia" w:ascii="宋体" w:hAnsi="宋体" w:eastAsia="宋体" w:cs="宋体"/>
                <w:color w:val="auto"/>
                <w:sz w:val="24"/>
                <w:highlight w:val="none"/>
                <w:lang w:val="en-US" w:eastAsia="zh-CN"/>
              </w:rPr>
              <w:t>右手机</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w:t>
            </w:r>
          </w:p>
        </w:tc>
        <w:tc>
          <w:tcPr>
            <w:tcW w:w="2518" w:type="dxa"/>
            <w:vAlign w:val="center"/>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噪音</w:t>
            </w:r>
          </w:p>
        </w:tc>
        <w:tc>
          <w:tcPr>
            <w:tcW w:w="4006" w:type="dxa"/>
            <w:vAlign w:val="center"/>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最大负载和最大速度下均低于80dB（A）</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exac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14</w:t>
            </w:r>
          </w:p>
        </w:tc>
        <w:tc>
          <w:tcPr>
            <w:tcW w:w="2518" w:type="dxa"/>
            <w:vAlign w:val="center"/>
          </w:tcPr>
          <w:p>
            <w:pPr>
              <w:snapToGrid w:val="0"/>
              <w:spacing w:line="300" w:lineRule="exact"/>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lang w:val="en-US" w:eastAsia="zh-CN"/>
              </w:rPr>
              <w:t xml:space="preserve">功率因素 </w:t>
            </w:r>
          </w:p>
        </w:tc>
        <w:tc>
          <w:tcPr>
            <w:tcW w:w="4006" w:type="dxa"/>
            <w:vAlign w:val="center"/>
          </w:tcPr>
          <w:p>
            <w:pPr>
              <w:spacing w:line="380" w:lineRule="atLeast"/>
              <w:ind w:firstLine="240" w:firstLine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任何速度下≥0.95</w:t>
            </w:r>
          </w:p>
          <w:p>
            <w:pPr>
              <w:snapToGrid w:val="0"/>
              <w:spacing w:line="300" w:lineRule="exact"/>
              <w:outlineLvl w:val="0"/>
              <w:rPr>
                <w:rFonts w:hint="eastAsia" w:ascii="宋体" w:hAnsi="宋体" w:eastAsia="宋体" w:cs="宋体"/>
                <w:color w:val="auto"/>
                <w:sz w:val="18"/>
                <w:szCs w:val="18"/>
                <w:highlight w:val="none"/>
              </w:rPr>
            </w:pP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2518"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★安装尺寸</w:t>
            </w:r>
          </w:p>
        </w:tc>
        <w:tc>
          <w:tcPr>
            <w:tcW w:w="4006" w:type="dxa"/>
            <w:vAlign w:val="center"/>
          </w:tcPr>
          <w:p>
            <w:pPr>
              <w:snapToGrid w:val="0"/>
              <w:spacing w:line="300" w:lineRule="exact"/>
              <w:outlineLvl w:val="0"/>
              <w:rPr>
                <w:rFonts w:hint="eastAsia" w:ascii="宋体" w:hAnsi="宋体" w:eastAsia="宋体" w:cs="宋体"/>
                <w:color w:val="auto"/>
                <w:szCs w:val="21"/>
                <w:highlight w:val="none"/>
              </w:rPr>
            </w:pPr>
            <w:r>
              <w:rPr>
                <w:rFonts w:hint="eastAsia"/>
                <w:color w:val="auto"/>
                <w:highlight w:val="none"/>
                <w:vertAlign w:val="baseline"/>
                <w:lang w:val="en-US" w:eastAsia="zh-CN"/>
              </w:rPr>
              <w:t>宽*长（7800*42000mm）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安装场地图见附件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exac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2518" w:type="dxa"/>
            <w:vAlign w:val="center"/>
          </w:tcPr>
          <w:p>
            <w:pPr>
              <w:snapToGrid w:val="0"/>
              <w:spacing w:line="300" w:lineRule="exact"/>
              <w:outlineLvl w:val="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其他要求</w:t>
            </w:r>
          </w:p>
        </w:tc>
        <w:tc>
          <w:tcPr>
            <w:tcW w:w="400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①配有开机累时器、智能电表；②轴承、齿轮箱有缺油或高温报警</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rPr>
            </w:pPr>
          </w:p>
        </w:tc>
      </w:tr>
    </w:tbl>
    <w:p>
      <w:pPr>
        <w:snapToGrid w:val="0"/>
        <w:spacing w:line="240" w:lineRule="exact"/>
        <w:outlineLvl w:val="0"/>
        <w:rPr>
          <w:rFonts w:hint="eastAsia" w:ascii="宋体" w:hAnsi="宋体" w:eastAsia="宋体" w:cs="宋体"/>
          <w:b/>
          <w:color w:val="auto"/>
          <w:szCs w:val="21"/>
          <w:highlight w:val="none"/>
        </w:rPr>
      </w:pPr>
    </w:p>
    <w:p>
      <w:pPr>
        <w:snapToGrid w:val="0"/>
        <w:spacing w:line="400" w:lineRule="exact"/>
        <w:outlineLvl w:val="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三</w:t>
      </w:r>
      <w:r>
        <w:rPr>
          <w:rFonts w:hint="eastAsia" w:ascii="宋体" w:hAnsi="宋体" w:eastAsia="宋体" w:cs="宋体"/>
          <w:b/>
          <w:color w:val="auto"/>
          <w:szCs w:val="21"/>
          <w:highlight w:val="none"/>
        </w:rPr>
        <w:t>、单元设备技术参数与配置</w:t>
      </w:r>
    </w:p>
    <w:tbl>
      <w:tblPr>
        <w:tblStyle w:val="42"/>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675"/>
        <w:gridCol w:w="6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jc w:val="center"/>
              <w:rPr>
                <w:rFonts w:hint="eastAsia" w:ascii="宋体" w:hAnsi="宋体" w:eastAsia="宋体" w:cs="宋体"/>
                <w:b/>
                <w:color w:val="auto"/>
                <w:highlight w:val="none"/>
              </w:rPr>
            </w:pPr>
            <w:r>
              <w:rPr>
                <w:rFonts w:hint="eastAsia" w:ascii="宋体" w:hAnsi="宋体" w:eastAsia="宋体" w:cs="宋体"/>
                <w:b/>
                <w:color w:val="auto"/>
                <w:sz w:val="24"/>
                <w:highlight w:val="none"/>
                <w:lang w:val="en-US" w:eastAsia="zh-CN"/>
              </w:rPr>
              <w:t>双</w:t>
            </w:r>
            <w:r>
              <w:rPr>
                <w:rFonts w:hint="eastAsia" w:ascii="宋体" w:hAnsi="宋体" w:eastAsia="宋体" w:cs="宋体"/>
                <w:b/>
                <w:color w:val="auto"/>
                <w:sz w:val="24"/>
                <w:highlight w:val="none"/>
              </w:rPr>
              <w:t>工位摆臂式放线架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型式：立柱转臂式：可放置四盘铜杆实现不停车接头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2、</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rPr>
              <w:t>放线架高度</w:t>
            </w:r>
            <w:r>
              <w:rPr>
                <w:rFonts w:hint="eastAsia" w:ascii="宋体" w:hAnsi="宋体" w:eastAsia="宋体" w:cs="宋体"/>
                <w:color w:val="auto"/>
                <w:sz w:val="24"/>
                <w:highlight w:val="none"/>
                <w:lang w:val="en-US" w:eastAsia="zh-CN"/>
              </w:rPr>
              <w:t>不低于</w:t>
            </w:r>
            <w:r>
              <w:rPr>
                <w:rFonts w:hint="eastAsia" w:ascii="宋体" w:hAnsi="宋体" w:eastAsia="宋体" w:cs="宋体"/>
                <w:color w:val="auto"/>
                <w:sz w:val="24"/>
                <w:highlight w:val="none"/>
              </w:rPr>
              <w:t>4800 mm、摆臂长度1650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放线架悬臂</w:t>
            </w:r>
            <w:r>
              <w:rPr>
                <w:rFonts w:hint="eastAsia" w:ascii="宋体" w:hAnsi="宋体" w:eastAsia="宋体" w:cs="宋体"/>
                <w:color w:val="auto"/>
                <w:sz w:val="24"/>
                <w:highlight w:val="none"/>
                <w:lang w:val="en-US" w:eastAsia="zh-CN"/>
              </w:rPr>
              <w:t>电动气压</w:t>
            </w:r>
            <w:r>
              <w:rPr>
                <w:rFonts w:hint="eastAsia" w:ascii="宋体" w:hAnsi="宋体" w:eastAsia="宋体" w:cs="宋体"/>
                <w:color w:val="auto"/>
                <w:sz w:val="24"/>
                <w:highlight w:val="none"/>
              </w:rPr>
              <w:t>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rPr>
                <w:rFonts w:hint="eastAsia" w:ascii="宋体" w:hAnsi="宋体" w:eastAsia="宋体" w:cs="宋体"/>
                <w:color w:val="auto"/>
                <w:kern w:val="1"/>
                <w:sz w:val="21"/>
                <w:szCs w:val="22"/>
                <w:highlight w:val="none"/>
                <w:lang w:val="en-US" w:eastAsia="zh-CN" w:bidi="ar-SA"/>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线材通过的所有通道都加装井字滚轮，并配有平台爬梯方便操作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配备</w:t>
            </w:r>
            <w:r>
              <w:rPr>
                <w:rFonts w:hint="eastAsia" w:ascii="宋体" w:hAnsi="宋体" w:cs="宋体"/>
                <w:color w:val="auto"/>
                <w:sz w:val="24"/>
                <w:highlight w:val="none"/>
                <w:lang w:val="en-US" w:eastAsia="zh-CN"/>
              </w:rPr>
              <w:t>卡线</w:t>
            </w:r>
            <w:r>
              <w:rPr>
                <w:rFonts w:hint="eastAsia" w:ascii="宋体" w:hAnsi="宋体" w:eastAsia="宋体" w:cs="宋体"/>
                <w:color w:val="auto"/>
                <w:sz w:val="24"/>
                <w:highlight w:val="none"/>
              </w:rPr>
              <w:t>停机装置</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有急停开关、点动开关</w:t>
            </w:r>
            <w:r>
              <w:rPr>
                <w:rFonts w:hint="eastAsia" w:ascii="宋体" w:hAnsi="宋体" w:eastAsia="宋体" w:cs="宋体"/>
                <w:b w:val="0"/>
                <w:bCs w:val="0"/>
                <w:color w:val="auto"/>
                <w:sz w:val="24"/>
                <w:highlight w:val="none"/>
                <w:lang w:val="en-US" w:eastAsia="zh-CN"/>
              </w:rPr>
              <w:t>，换铜杆整机降速开关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gridSpan w:val="3"/>
            <w:vAlign w:val="top"/>
          </w:tcPr>
          <w:p>
            <w:pPr>
              <w:spacing w:line="276" w:lineRule="auto"/>
              <w:rPr>
                <w:rFonts w:hint="eastAsia" w:ascii="宋体" w:hAnsi="宋体" w:eastAsia="宋体" w:cs="宋体"/>
                <w:color w:val="auto"/>
                <w:szCs w:val="22"/>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进线导轮</w:t>
            </w:r>
            <w:r>
              <w:rPr>
                <w:rFonts w:hint="eastAsia" w:ascii="宋体" w:hAnsi="宋体" w:eastAsia="宋体" w:cs="宋体"/>
                <w:color w:val="auto"/>
                <w:sz w:val="24"/>
                <w:highlight w:val="none"/>
                <w:lang w:val="en-US" w:eastAsia="zh-CN"/>
              </w:rPr>
              <w:t>均</w:t>
            </w:r>
            <w:r>
              <w:rPr>
                <w:rFonts w:hint="eastAsia" w:ascii="宋体" w:hAnsi="宋体" w:eastAsia="宋体" w:cs="宋体"/>
                <w:color w:val="auto"/>
                <w:sz w:val="24"/>
                <w:highlight w:val="none"/>
              </w:rPr>
              <w:t>采用工程塑料复合结构，降低铜杆滑动噪音</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不高于80dB（A）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9008" w:type="dxa"/>
            <w:gridSpan w:val="3"/>
            <w:vAlign w:val="top"/>
          </w:tcPr>
          <w:p>
            <w:pPr>
              <w:numPr>
                <w:ilvl w:val="0"/>
                <w:numId w:val="0"/>
              </w:numPr>
              <w:adjustRightInd w:val="0"/>
              <w:snapToGrid w:val="0"/>
              <w:spacing w:line="380" w:lineRule="atLeast"/>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拉线</w:t>
            </w:r>
            <w:r>
              <w:rPr>
                <w:rFonts w:hint="eastAsia" w:ascii="宋体" w:hAnsi="宋体" w:eastAsia="宋体" w:cs="宋体"/>
                <w:b/>
                <w:color w:val="auto"/>
                <w:sz w:val="24"/>
                <w:highlight w:val="none"/>
                <w:lang w:val="en-US" w:eastAsia="zh-CN"/>
              </w:rPr>
              <w:t>主</w:t>
            </w:r>
            <w:r>
              <w:rPr>
                <w:rFonts w:hint="eastAsia" w:ascii="宋体" w:hAnsi="宋体" w:eastAsia="宋体" w:cs="宋体"/>
                <w:b/>
                <w:color w:val="auto"/>
                <w:sz w:val="24"/>
                <w:highlight w:val="none"/>
              </w:rPr>
              <w:t>机</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分电机</w:t>
            </w:r>
            <w:r>
              <w:rPr>
                <w:rFonts w:hint="eastAsia" w:ascii="宋体" w:hAnsi="宋体" w:cs="宋体"/>
                <w:b/>
                <w:color w:val="auto"/>
                <w:sz w:val="24"/>
                <w:highlight w:val="none"/>
                <w:lang w:eastAsia="zh-CN"/>
              </w:rPr>
              <w:t>）</w:t>
            </w:r>
          </w:p>
          <w:p>
            <w:pPr>
              <w:jc w:val="center"/>
              <w:rPr>
                <w:rFonts w:hint="eastAsia" w:ascii="宋体" w:hAnsi="宋体" w:eastAsia="宋体" w:cs="宋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1、</w:t>
            </w:r>
            <w:r>
              <w:rPr>
                <w:rFonts w:hint="eastAsia" w:ascii="宋体" w:hAnsi="宋体" w:eastAsia="宋体" w:cs="宋体"/>
                <w:b w:val="0"/>
                <w:bCs w:val="0"/>
                <w:color w:val="auto"/>
                <w:sz w:val="24"/>
                <w:highlight w:val="none"/>
              </w:rPr>
              <w:t>拉丝主机每个拉线轮的动力由单独伺服电机驱动,</w:t>
            </w:r>
            <w:r>
              <w:rPr>
                <w:rFonts w:hint="eastAsia" w:ascii="宋体" w:hAnsi="宋体" w:eastAsia="宋体" w:cs="宋体"/>
                <w:b w:val="0"/>
                <w:bCs w:val="0"/>
                <w:strike w:val="0"/>
                <w:dstrike w:val="0"/>
                <w:color w:val="auto"/>
                <w:sz w:val="24"/>
                <w:highlight w:val="none"/>
                <w:u w:val="none"/>
              </w:rPr>
              <w:t>具有断流报警功能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2、</w:t>
            </w:r>
            <w:r>
              <w:rPr>
                <w:rFonts w:hint="eastAsia" w:ascii="宋体" w:hAnsi="宋体" w:eastAsia="宋体" w:cs="宋体"/>
                <w:b w:val="0"/>
                <w:bCs w:val="0"/>
                <w:color w:val="auto"/>
                <w:sz w:val="24"/>
                <w:highlight w:val="none"/>
              </w:rPr>
              <w:t>线材在拉线鼓轮上的滑动最小</w:t>
            </w:r>
            <w:r>
              <w:rPr>
                <w:rFonts w:hint="eastAsia" w:ascii="宋体" w:hAnsi="宋体" w:eastAsia="宋体" w:cs="宋体"/>
                <w:b w:val="0"/>
                <w:bCs w:val="0"/>
                <w:color w:val="auto"/>
                <w:sz w:val="24"/>
                <w:highlight w:val="none"/>
                <w:lang w:eastAsia="zh-CN"/>
              </w:rPr>
              <w:t>，</w:t>
            </w:r>
            <w:r>
              <w:rPr>
                <w:rFonts w:hint="eastAsia" w:ascii="宋体" w:hAnsi="宋体" w:eastAsia="宋体" w:cs="宋体"/>
                <w:b w:val="0"/>
                <w:bCs w:val="0"/>
                <w:color w:val="auto"/>
                <w:sz w:val="24"/>
                <w:highlight w:val="none"/>
                <w:lang w:val="en-US" w:eastAsia="zh-CN"/>
              </w:rPr>
              <w:t>滑动量不超过0.5%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lang w:val="en-US"/>
              </w:rPr>
            </w:pPr>
            <w:r>
              <w:rPr>
                <w:rFonts w:hint="eastAsia" w:ascii="宋体" w:hAnsi="宋体" w:eastAsia="宋体" w:cs="宋体"/>
                <w:b w:val="0"/>
                <w:bCs w:val="0"/>
                <w:color w:val="auto"/>
                <w:sz w:val="24"/>
                <w:highlight w:val="none"/>
                <w:lang w:val="en-US" w:eastAsia="zh-CN"/>
              </w:rPr>
              <w:t>3、</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拉丝鼓轮圈</w:t>
            </w:r>
            <w:r>
              <w:rPr>
                <w:rFonts w:hint="eastAsia" w:ascii="宋体" w:hAnsi="宋体" w:eastAsia="宋体" w:cs="宋体"/>
                <w:b w:val="0"/>
                <w:bCs w:val="0"/>
                <w:color w:val="auto"/>
                <w:sz w:val="24"/>
                <w:highlight w:val="none"/>
                <w:lang w:val="en-US" w:eastAsia="zh-CN"/>
              </w:rPr>
              <w:t>可换面使用，并注明</w:t>
            </w:r>
            <w:r>
              <w:rPr>
                <w:rFonts w:hint="eastAsia" w:ascii="宋体" w:hAnsi="宋体" w:cs="宋体"/>
                <w:b w:val="0"/>
                <w:bCs w:val="0"/>
                <w:color w:val="auto"/>
                <w:sz w:val="24"/>
                <w:highlight w:val="none"/>
                <w:lang w:val="en-US" w:eastAsia="zh-CN"/>
              </w:rPr>
              <w:t>拉丝鼓轮洛氏硬度（HRC）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4、拉丝和定速鼓轮直径：不低于φ450mm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5、操作台悬臂式操作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6、拉丝鼓轮全浸入拉丝液中，注明拉丝箱体结构及密封措施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7、</w:t>
            </w:r>
            <w:r>
              <w:rPr>
                <w:rFonts w:hint="eastAsia" w:ascii="宋体" w:hAnsi="宋体" w:cs="宋体"/>
                <w:b w:val="0"/>
                <w:bCs w:val="0"/>
                <w:color w:val="auto"/>
                <w:sz w:val="24"/>
                <w:highlight w:val="none"/>
                <w:lang w:val="en-US" w:eastAsia="zh-CN"/>
              </w:rPr>
              <w:t>△</w:t>
            </w:r>
            <w:r>
              <w:rPr>
                <w:rFonts w:hint="eastAsia" w:ascii="宋体" w:hAnsi="宋体" w:eastAsia="宋体" w:cs="宋体"/>
                <w:b w:val="0"/>
                <w:bCs w:val="0"/>
                <w:color w:val="auto"/>
                <w:sz w:val="24"/>
                <w:highlight w:val="none"/>
                <w:lang w:val="en-US" w:eastAsia="zh-CN"/>
              </w:rPr>
              <w:t>拉丝箱体不漏乳液（</w:t>
            </w:r>
            <w:r>
              <w:rPr>
                <w:rFonts w:hint="eastAsia" w:ascii="宋体" w:hAnsi="宋体" w:cs="宋体"/>
                <w:b w:val="0"/>
                <w:bCs w:val="0"/>
                <w:color w:val="auto"/>
                <w:sz w:val="24"/>
                <w:highlight w:val="none"/>
                <w:lang w:val="en-US" w:eastAsia="zh-CN"/>
              </w:rPr>
              <w:t>质保5</w:t>
            </w:r>
            <w:r>
              <w:rPr>
                <w:rFonts w:hint="eastAsia" w:ascii="宋体" w:hAnsi="宋体" w:eastAsia="宋体" w:cs="宋体"/>
                <w:b w:val="0"/>
                <w:bCs w:val="0"/>
                <w:color w:val="auto"/>
                <w:sz w:val="24"/>
                <w:highlight w:val="no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b w:val="0"/>
                <w:bCs w:val="0"/>
                <w:color w:val="auto"/>
                <w:szCs w:val="22"/>
                <w:highlight w:val="none"/>
              </w:rPr>
            </w:pPr>
            <w:r>
              <w:rPr>
                <w:rFonts w:hint="eastAsia" w:ascii="宋体" w:hAnsi="宋体" w:eastAsia="宋体" w:cs="宋体"/>
                <w:b w:val="0"/>
                <w:bCs w:val="0"/>
                <w:color w:val="auto"/>
                <w:sz w:val="24"/>
                <w:highlight w:val="none"/>
                <w:lang w:val="en-US" w:eastAsia="zh-CN"/>
              </w:rPr>
              <w:t>8、供应商提供设备水电气使用条件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lang w:val="en-US" w:eastAsia="zh-CN"/>
              </w:rPr>
              <w:t>连续</w:t>
            </w:r>
            <w:r>
              <w:rPr>
                <w:rFonts w:hint="eastAsia" w:ascii="宋体" w:hAnsi="宋体" w:eastAsia="宋体" w:cs="宋体"/>
                <w:b/>
                <w:color w:val="auto"/>
                <w:sz w:val="24"/>
                <w:highlight w:val="none"/>
              </w:rPr>
              <w:t>退火机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最大退火直径：Ф4.5mm（单丝）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退火直径：Ф1.6-3.5mm（双丝）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adjustRightInd w:val="0"/>
              <w:snapToGrid w:val="0"/>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strike w:val="0"/>
                <w:dstrike w:val="0"/>
                <w:color w:val="auto"/>
                <w:sz w:val="24"/>
                <w:highlight w:val="none"/>
                <w:lang w:val="en-US" w:eastAsia="zh-CN"/>
              </w:rPr>
              <w:t>3、</w:t>
            </w:r>
            <w:r>
              <w:rPr>
                <w:rFonts w:hint="eastAsia" w:ascii="宋体" w:hAnsi="宋体" w:eastAsia="宋体" w:cs="宋体"/>
                <w:strike w:val="0"/>
                <w:dstrike w:val="0"/>
                <w:color w:val="auto"/>
                <w:sz w:val="24"/>
                <w:highlight w:val="none"/>
              </w:rPr>
              <w:t>退火最大电流：</w:t>
            </w:r>
            <w:r>
              <w:rPr>
                <w:rFonts w:hint="eastAsia" w:ascii="宋体" w:hAnsi="宋体" w:eastAsia="宋体" w:cs="宋体"/>
                <w:strike w:val="0"/>
                <w:dstrike w:val="0"/>
                <w:color w:val="auto"/>
                <w:sz w:val="24"/>
                <w:highlight w:val="none"/>
                <w:lang w:val="en-US" w:eastAsia="zh-CN"/>
              </w:rPr>
              <w:t>不低于8</w:t>
            </w:r>
            <w:r>
              <w:rPr>
                <w:rFonts w:hint="eastAsia" w:ascii="宋体" w:hAnsi="宋体" w:eastAsia="宋体" w:cs="宋体"/>
                <w:strike w:val="0"/>
                <w:dstrike w:val="0"/>
                <w:color w:val="auto"/>
                <w:sz w:val="24"/>
                <w:highlight w:val="none"/>
              </w:rPr>
              <w:t>000A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strike w:val="0"/>
                <w:dstrike w:val="0"/>
                <w:color w:val="auto"/>
                <w:sz w:val="24"/>
                <w:highlight w:val="none"/>
              </w:rPr>
              <w:t>退火最大电压：52V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strike w:val="0"/>
                <w:dstrike w:val="0"/>
                <w:color w:val="auto"/>
                <w:sz w:val="24"/>
                <w:highlight w:val="none"/>
              </w:rPr>
              <w:t>退火功率：</w:t>
            </w:r>
            <w:r>
              <w:rPr>
                <w:rFonts w:hint="eastAsia" w:ascii="宋体" w:hAnsi="宋体" w:eastAsia="宋体" w:cs="宋体"/>
                <w:strike w:val="0"/>
                <w:dstrike w:val="0"/>
                <w:color w:val="auto"/>
                <w:sz w:val="24"/>
                <w:highlight w:val="none"/>
                <w:lang w:val="en-US" w:eastAsia="zh-CN"/>
              </w:rPr>
              <w:t>不低于</w:t>
            </w:r>
            <w:r>
              <w:rPr>
                <w:rFonts w:hint="eastAsia" w:ascii="宋体" w:hAnsi="宋体" w:eastAsia="宋体" w:cs="宋体"/>
                <w:strike w:val="0"/>
                <w:dstrike w:val="0"/>
                <w:color w:val="auto"/>
                <w:sz w:val="24"/>
                <w:highlight w:val="none"/>
              </w:rPr>
              <w:t>5</w:t>
            </w:r>
            <w:r>
              <w:rPr>
                <w:rFonts w:hint="eastAsia" w:ascii="宋体" w:hAnsi="宋体" w:eastAsia="宋体" w:cs="宋体"/>
                <w:strike w:val="0"/>
                <w:dstrike w:val="0"/>
                <w:color w:val="auto"/>
                <w:sz w:val="24"/>
                <w:highlight w:val="none"/>
                <w:lang w:val="en-US" w:eastAsia="zh-CN"/>
              </w:rPr>
              <w:t>3</w:t>
            </w:r>
            <w:r>
              <w:rPr>
                <w:rFonts w:hint="eastAsia" w:ascii="宋体" w:hAnsi="宋体" w:eastAsia="宋体" w:cs="宋体"/>
                <w:strike w:val="0"/>
                <w:dstrike w:val="0"/>
                <w:color w:val="auto"/>
                <w:sz w:val="24"/>
                <w:highlight w:val="none"/>
              </w:rPr>
              <w:t>0k</w:t>
            </w:r>
            <w:r>
              <w:rPr>
                <w:rFonts w:hint="eastAsia" w:ascii="宋体" w:hAnsi="宋体" w:eastAsia="宋体" w:cs="宋体"/>
                <w:strike w:val="0"/>
                <w:dstrike w:val="0"/>
                <w:color w:val="auto"/>
                <w:sz w:val="24"/>
                <w:highlight w:val="none"/>
                <w:lang w:val="en-US" w:eastAsia="zh-CN"/>
              </w:rPr>
              <w:t>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退火轮直径：</w:t>
            </w:r>
            <w:r>
              <w:rPr>
                <w:rFonts w:hint="eastAsia" w:ascii="宋体" w:hAnsi="宋体" w:eastAsia="宋体" w:cs="宋体"/>
                <w:color w:val="auto"/>
                <w:sz w:val="24"/>
                <w:highlight w:val="none"/>
                <w:lang w:val="en-US" w:eastAsia="zh-CN"/>
              </w:rPr>
              <w:t>不低于</w:t>
            </w:r>
            <w:r>
              <w:rPr>
                <w:rFonts w:hint="eastAsia" w:ascii="宋体" w:hAnsi="宋体" w:eastAsia="宋体" w:cs="宋体"/>
                <w:color w:val="auto"/>
                <w:sz w:val="24"/>
                <w:highlight w:val="none"/>
              </w:rPr>
              <w:t>Ф</w:t>
            </w:r>
            <w:r>
              <w:rPr>
                <w:rFonts w:hint="eastAsia" w:ascii="宋体" w:hAnsi="宋体" w:eastAsia="宋体" w:cs="宋体"/>
                <w:color w:val="auto"/>
                <w:sz w:val="24"/>
                <w:highlight w:val="none"/>
                <w:lang w:val="en-US" w:eastAsia="zh-CN"/>
              </w:rPr>
              <w:t>45</w:t>
            </w:r>
            <w:r>
              <w:rPr>
                <w:rFonts w:hint="eastAsia" w:ascii="宋体" w:hAnsi="宋体" w:eastAsia="宋体" w:cs="宋体"/>
                <w:color w:val="auto"/>
                <w:sz w:val="24"/>
                <w:highlight w:val="none"/>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9008" w:type="dxa"/>
            <w:gridSpan w:val="3"/>
            <w:vAlign w:val="top"/>
          </w:tcPr>
          <w:p>
            <w:pPr>
              <w:autoSpaceDE w:val="0"/>
              <w:autoSpaceDN w:val="0"/>
              <w:adjustRightInd w:val="0"/>
              <w:spacing w:line="32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保护气体：</w:t>
            </w:r>
            <w:r>
              <w:rPr>
                <w:rFonts w:hint="eastAsia" w:ascii="宋体" w:hAnsi="宋体" w:eastAsia="宋体" w:cs="宋体"/>
                <w:color w:val="auto"/>
                <w:sz w:val="24"/>
                <w:highlight w:val="none"/>
              </w:rPr>
              <w:t>氮气</w:t>
            </w:r>
            <w:r>
              <w:rPr>
                <w:rFonts w:hint="eastAsia" w:ascii="宋体" w:hAnsi="宋体" w:eastAsia="宋体" w:cs="宋体"/>
                <w:color w:val="auto"/>
                <w:sz w:val="24"/>
                <w:highlight w:val="none"/>
                <w:lang w:eastAsia="zh-CN"/>
              </w:rPr>
              <w:t>，</w:t>
            </w:r>
            <w:r>
              <w:rPr>
                <w:rFonts w:hint="eastAsia" w:ascii="宋体" w:hAnsi="宋体" w:eastAsia="宋体" w:cs="宋体"/>
                <w:b w:val="0"/>
                <w:bCs w:val="0"/>
                <w:color w:val="auto"/>
                <w:sz w:val="24"/>
                <w:highlight w:val="none"/>
                <w:lang w:val="en-US" w:eastAsia="zh-CN"/>
              </w:rPr>
              <w:t>停机能自动关气</w:t>
            </w:r>
            <w:r>
              <w:rPr>
                <w:rFonts w:hint="eastAsia" w:ascii="宋体" w:hAnsi="宋体" w:cs="宋体"/>
                <w:b w:val="0"/>
                <w:bCs w:val="0"/>
                <w:color w:val="auto"/>
                <w:sz w:val="24"/>
                <w:highlight w:val="none"/>
                <w:lang w:val="en-US" w:eastAsia="zh-CN"/>
              </w:rPr>
              <w:t>，有氮气低流量报警停机功能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压缩空气消耗量：</w:t>
            </w:r>
            <w:r>
              <w:rPr>
                <w:rFonts w:hint="eastAsia" w:ascii="宋体" w:hAnsi="宋体" w:eastAsia="宋体" w:cs="宋体"/>
                <w:color w:val="auto"/>
                <w:sz w:val="24"/>
                <w:highlight w:val="none"/>
                <w:lang w:val="en-US" w:eastAsia="zh-CN"/>
              </w:rPr>
              <w:t xml:space="preserve"> 由供应商注明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9、退火控制方式及节能措施，系统带保护装置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ind w:left="480" w:hanging="480" w:hanging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10、退火轮润滑方式、密封方式及退火轮冷却方式及报警说明，镍带及碳刷寿命延长措施，镍带及碳刷的使用寿命</w:t>
            </w:r>
            <w:r>
              <w:rPr>
                <w:rFonts w:hint="eastAsia" w:ascii="宋体" w:hAnsi="宋体" w:cs="宋体"/>
                <w:color w:val="auto"/>
                <w:sz w:val="24"/>
                <w:highlight w:val="none"/>
                <w:lang w:val="en-US" w:eastAsia="zh-CN"/>
              </w:rPr>
              <w:t>（单位是：吨铜/次）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铜线吹干器采用电磁阀控制，与设备联动，起机自动启动，停机则自动关闭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在拉制硬线时，可关断退火机，有穿过退火机的导线轮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13、供应商提供设备水电气使用条件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ind w:left="480" w:hanging="480" w:hanging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14、</w:t>
            </w:r>
            <w:r>
              <w:rPr>
                <w:rFonts w:hint="eastAsia" w:ascii="宋体" w:hAnsi="宋体" w:cs="宋体"/>
                <w:color w:val="auto"/>
                <w:sz w:val="24"/>
                <w:highlight w:val="none"/>
                <w:lang w:val="en-US" w:eastAsia="zh-CN"/>
              </w:rPr>
              <w:t>碳刷有冷却功能，</w:t>
            </w:r>
            <w:r>
              <w:rPr>
                <w:rFonts w:hint="eastAsia" w:ascii="宋体" w:hAnsi="宋体" w:eastAsia="宋体" w:cs="宋体"/>
                <w:color w:val="auto"/>
                <w:sz w:val="24"/>
                <w:highlight w:val="none"/>
                <w:lang w:val="en-US" w:eastAsia="zh-CN"/>
              </w:rPr>
              <w:t>碳刷带磨损监测及超温报警，碳刷设计需要满足8000A退火电流使用的设计说明，退火铜轮寿命的设计说明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left"/>
              <w:rPr>
                <w:rFonts w:hint="eastAsia" w:ascii="宋体" w:hAnsi="宋体" w:eastAsia="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15、退火轴承有自动加黄油功能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储线张力装置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widowControl/>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rPr>
              <w:t>移动导轮直径：</w:t>
            </w:r>
            <w:bookmarkStart w:id="73" w:name="OLE_LINK8"/>
            <w:r>
              <w:rPr>
                <w:rFonts w:hint="eastAsia" w:ascii="宋体" w:hAnsi="宋体" w:eastAsia="宋体" w:cs="宋体"/>
                <w:color w:val="auto"/>
                <w:sz w:val="24"/>
                <w:highlight w:val="none"/>
                <w:lang w:val="en-US" w:eastAsia="zh-CN"/>
              </w:rPr>
              <w:t>不低于</w:t>
            </w:r>
            <w:r>
              <w:rPr>
                <w:rFonts w:hint="eastAsia" w:ascii="宋体" w:hAnsi="宋体" w:eastAsia="宋体" w:cs="宋体"/>
                <w:color w:val="auto"/>
                <w:sz w:val="24"/>
                <w:highlight w:val="none"/>
              </w:rPr>
              <w:t>Φ</w:t>
            </w:r>
            <w:bookmarkEnd w:id="73"/>
            <w:r>
              <w:rPr>
                <w:rFonts w:hint="eastAsia" w:ascii="宋体" w:hAnsi="宋体" w:eastAsia="宋体" w:cs="宋体"/>
                <w:color w:val="auto"/>
                <w:sz w:val="24"/>
                <w:highlight w:val="none"/>
                <w:lang w:val="en-US" w:eastAsia="zh-CN"/>
              </w:rPr>
              <w:t>40</w:t>
            </w:r>
            <w:r>
              <w:rPr>
                <w:rFonts w:hint="eastAsia" w:ascii="宋体" w:hAnsi="宋体" w:eastAsia="宋体" w:cs="宋体"/>
                <w:color w:val="auto"/>
                <w:sz w:val="24"/>
                <w:highlight w:val="none"/>
              </w:rPr>
              <w:t>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压缩空气消耗量：</w:t>
            </w:r>
            <w:r>
              <w:rPr>
                <w:rFonts w:hint="eastAsia" w:ascii="宋体" w:hAnsi="宋体" w:eastAsia="宋体" w:cs="宋体"/>
                <w:color w:val="auto"/>
                <w:sz w:val="24"/>
                <w:highlight w:val="none"/>
                <w:lang w:val="en-US" w:eastAsia="zh-CN"/>
              </w:rPr>
              <w:t>供应商提供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3、张力可在操作面板上调整大小，速度自动跟踪控制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具有断线自动停机功能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numPr>
                <w:ilvl w:val="0"/>
                <w:numId w:val="0"/>
              </w:numPr>
              <w:adjustRightInd w:val="0"/>
              <w:snapToGrid w:val="0"/>
              <w:spacing w:line="380" w:lineRule="atLeast"/>
              <w:ind w:left="280" w:leftChars="0"/>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630双盘收线机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1、自动换盘，人工上下盘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顶紧缸盘：气动，附加机械锁紧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 xml:space="preserve"> 收线电机：交流变频电机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排线电机：伺服电机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收线盘规格：PND500-630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s="宋体"/>
                <w:strike w:val="0"/>
                <w:dstrike w:val="0"/>
                <w:color w:val="auto"/>
                <w:sz w:val="24"/>
                <w:highlight w:val="none"/>
              </w:rPr>
              <w:t>换盘速度：</w:t>
            </w:r>
            <w:r>
              <w:rPr>
                <w:rFonts w:hint="eastAsia" w:ascii="宋体" w:hAnsi="宋体" w:eastAsia="宋体" w:cs="宋体"/>
                <w:strike w:val="0"/>
                <w:dstrike w:val="0"/>
                <w:color w:val="auto"/>
                <w:sz w:val="24"/>
                <w:highlight w:val="none"/>
                <w:lang w:val="en-US" w:eastAsia="zh-CN"/>
              </w:rPr>
              <w:t>不低于5m/s</w:t>
            </w:r>
            <w:r>
              <w:rPr>
                <w:rFonts w:hint="eastAsia" w:ascii="宋体" w:hAnsi="宋体" w:eastAsia="宋体" w:cs="宋体"/>
                <w:strike w:val="0"/>
                <w:dstrike w:val="0"/>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计米误差率：≤3‰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r>
              <w:rPr>
                <w:rFonts w:hint="eastAsia" w:ascii="宋体" w:hAnsi="宋体" w:cs="宋体"/>
                <w:b/>
                <w:color w:val="auto"/>
                <w:szCs w:val="21"/>
                <w:highlight w:val="none"/>
                <w:lang w:val="en-US" w:eastAsia="zh-CN"/>
              </w:rPr>
              <w:t>△</w:t>
            </w:r>
            <w:r>
              <w:rPr>
                <w:rFonts w:hint="eastAsia" w:ascii="宋体" w:hAnsi="宋体" w:eastAsia="宋体" w:cs="宋体"/>
                <w:color w:val="auto"/>
                <w:sz w:val="24"/>
                <w:highlight w:val="none"/>
              </w:rPr>
              <w:t>换盘成功率：</w:t>
            </w:r>
            <w:r>
              <w:rPr>
                <w:rFonts w:hint="eastAsia" w:ascii="宋体" w:hAnsi="宋体" w:eastAsia="宋体" w:cs="宋体"/>
                <w:color w:val="auto"/>
                <w:sz w:val="24"/>
                <w:highlight w:val="none"/>
                <w:lang w:val="en-US" w:eastAsia="zh-CN"/>
              </w:rPr>
              <w:t>100</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w:t>
            </w:r>
            <w:r>
              <w:rPr>
                <w:rFonts w:hint="eastAsia" w:ascii="宋体" w:hAnsi="宋体" w:eastAsia="宋体" w:cs="宋体"/>
                <w:b w:val="0"/>
                <w:bCs w:val="0"/>
                <w:color w:val="auto"/>
                <w:sz w:val="24"/>
                <w:highlight w:val="none"/>
                <w:lang w:val="en-US" w:eastAsia="zh-CN"/>
              </w:rPr>
              <w:t>并能提供一年后仍能保证100%成功率的措施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压缩空气消耗量：</w:t>
            </w:r>
            <w:r>
              <w:rPr>
                <w:rFonts w:hint="eastAsia" w:ascii="宋体" w:hAnsi="宋体" w:eastAsia="宋体" w:cs="宋体"/>
                <w:color w:val="auto"/>
                <w:sz w:val="24"/>
                <w:highlight w:val="none"/>
                <w:lang w:val="en-US" w:eastAsia="zh-CN"/>
              </w:rPr>
              <w:t>供应商提供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备有气压力传感器，当气压低于规定值时即发出停机信号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每个动作有各相应的气动电磁阀，并带有标识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12、</w:t>
            </w:r>
            <w:r>
              <w:rPr>
                <w:rFonts w:hint="eastAsia" w:ascii="宋体" w:hAnsi="宋体" w:cs="宋体"/>
                <w:b w:val="0"/>
                <w:bCs/>
                <w:color w:val="auto"/>
                <w:sz w:val="24"/>
                <w:highlight w:val="none"/>
                <w:lang w:val="en-US" w:eastAsia="zh-CN"/>
              </w:rPr>
              <w:t>排线速度有跟踪收线速度功能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梅花成圈</w:t>
            </w:r>
            <w:r>
              <w:rPr>
                <w:rFonts w:hint="eastAsia" w:ascii="宋体" w:hAnsi="宋体" w:eastAsia="宋体" w:cs="宋体"/>
                <w:b/>
                <w:color w:val="auto"/>
                <w:sz w:val="24"/>
                <w:highlight w:val="none"/>
                <w:lang w:val="en-US" w:eastAsia="zh-CN"/>
              </w:rPr>
              <w:t>落线</w:t>
            </w:r>
            <w:r>
              <w:rPr>
                <w:rFonts w:hint="eastAsia" w:ascii="宋体" w:hAnsi="宋体" w:eastAsia="宋体" w:cs="宋体"/>
                <w:b/>
                <w:color w:val="auto"/>
                <w:sz w:val="24"/>
                <w:highlight w:val="none"/>
              </w:rPr>
              <w:t>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1、收线速度满足最高设计线速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2、线径范围</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φ1.6-4.5m</w:t>
            </w:r>
            <w:r>
              <w:rPr>
                <w:rFonts w:hint="eastAsia" w:ascii="宋体" w:hAnsi="宋体" w:eastAsia="宋体" w:cs="宋体"/>
                <w:color w:val="auto"/>
                <w:sz w:val="24"/>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收线框内尺寸：</w:t>
            </w:r>
            <w:r>
              <w:rPr>
                <w:rFonts w:hint="eastAsia" w:ascii="宋体" w:hAnsi="宋体" w:eastAsia="宋体" w:cs="宋体"/>
                <w:color w:val="auto"/>
                <w:sz w:val="24"/>
                <w:highlight w:val="none"/>
                <w:lang w:val="en-US" w:eastAsia="zh-CN"/>
              </w:rPr>
              <w:t>根据我司盘具确定相关尺寸</w:t>
            </w:r>
            <w:r>
              <w:rPr>
                <w:rFonts w:hint="eastAsia" w:ascii="宋体" w:hAnsi="宋体" w:cs="宋体"/>
                <w:color w:val="auto"/>
                <w:sz w:val="24"/>
                <w:highlight w:val="none"/>
                <w:lang w:val="en-US" w:eastAsia="zh-CN"/>
              </w:rPr>
              <w:t>，见附件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4、线盘输送设有预备位置、操作位置、卸载位置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5、具有全自动更换线框定位装置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pStyle w:val="20"/>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 xml:space="preserve">6、无需停机调整排线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7、供应商提供设备水电气使用条件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8、有到米提示声光报警功能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kern w:val="2"/>
                <w:sz w:val="24"/>
                <w:szCs w:val="24"/>
                <w:highlight w:val="none"/>
                <w:lang w:val="en-US" w:eastAsia="zh-CN" w:bidi="ar-SA"/>
              </w:rPr>
              <w:t>电气控制系统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b/>
                <w:bCs/>
                <w:color w:val="auto"/>
                <w:sz w:val="24"/>
                <w:highlight w:val="none"/>
                <w:lang w:val="en-US" w:eastAsia="zh-CN"/>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highlight w:val="none"/>
              </w:rPr>
              <w:t>本系统采用三项五线制：电源电压 380V，50HZ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highlight w:val="none"/>
              </w:rPr>
              <w:t>主机各拉丝轮均采用伺服</w:t>
            </w:r>
            <w:r>
              <w:rPr>
                <w:rFonts w:hint="eastAsia" w:ascii="宋体" w:hAnsi="宋体" w:eastAsia="宋体" w:cs="宋体"/>
                <w:color w:val="auto"/>
                <w:highlight w:val="none"/>
                <w:lang w:val="en-US" w:eastAsia="zh-CN"/>
              </w:rPr>
              <w:t>交流</w:t>
            </w:r>
            <w:r>
              <w:rPr>
                <w:rFonts w:hint="eastAsia" w:ascii="宋体" w:hAnsi="宋体" w:eastAsia="宋体" w:cs="宋体"/>
                <w:color w:val="auto"/>
                <w:highlight w:val="none"/>
              </w:rPr>
              <w:t>电机；</w:t>
            </w:r>
            <w:r>
              <w:rPr>
                <w:rFonts w:hint="eastAsia" w:ascii="宋体" w:hAnsi="宋体" w:eastAsia="宋体" w:cs="宋体"/>
                <w:color w:val="auto"/>
                <w:highlight w:val="none"/>
                <w:lang w:val="en-US" w:eastAsia="zh-CN"/>
              </w:rPr>
              <w:t>其他电机均</w:t>
            </w:r>
            <w:r>
              <w:rPr>
                <w:rFonts w:hint="eastAsia" w:ascii="宋体" w:hAnsi="宋体" w:eastAsia="宋体" w:cs="宋体"/>
                <w:color w:val="auto"/>
                <w:highlight w:val="none"/>
              </w:rPr>
              <w:t>采用交流电机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highlight w:val="none"/>
              </w:rPr>
              <w:t>伺服电机和收线电机均采用</w:t>
            </w:r>
            <w:r>
              <w:rPr>
                <w:rFonts w:hint="eastAsia" w:ascii="宋体" w:hAnsi="宋体" w:eastAsia="宋体" w:cs="宋体"/>
                <w:color w:val="auto"/>
                <w:highlight w:val="none"/>
                <w:lang w:val="en-US" w:eastAsia="zh-CN"/>
              </w:rPr>
              <w:t>稳定的国内外知名品牌控制系统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highlight w:val="none"/>
              </w:rPr>
              <w:t>各主要功能部件处设有点动、</w:t>
            </w:r>
            <w:r>
              <w:rPr>
                <w:rFonts w:hint="eastAsia" w:ascii="宋体" w:hAnsi="宋体" w:eastAsia="宋体" w:cs="宋体"/>
                <w:color w:val="auto"/>
                <w:highlight w:val="none"/>
                <w:lang w:val="en-US" w:eastAsia="zh-CN"/>
              </w:rPr>
              <w:t>急</w:t>
            </w:r>
            <w:r>
              <w:rPr>
                <w:rFonts w:hint="eastAsia" w:ascii="宋体" w:hAnsi="宋体" w:eastAsia="宋体" w:cs="宋体"/>
                <w:color w:val="auto"/>
                <w:highlight w:val="none"/>
              </w:rPr>
              <w:t>停等常用控制按钮，各防护门与生产线运行设置安全互锁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highlight w:val="none"/>
              </w:rPr>
              <w:t>设备配备智能电表，用于监测整台设备的电压、电流、功率、电量等参数，配备通讯接口，相关数据实时传入PLC系统</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带有设备运行累时功能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highlight w:val="none"/>
              </w:rPr>
              <w:t>每台变频器入线端安装有三相入线电抗器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highlight w:val="none"/>
              </w:rPr>
              <w:t>控制柜内设置照明、带漏保插座，控制柜顶部设置散热风机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8、</w:t>
            </w:r>
            <w:r>
              <w:rPr>
                <w:rFonts w:hint="eastAsia" w:ascii="宋体" w:hAnsi="宋体" w:eastAsia="宋体" w:cs="宋体"/>
                <w:color w:val="auto"/>
                <w:highlight w:val="none"/>
              </w:rPr>
              <w:t>电控柜内部铜排除了套相色绝缘管外，铜排、熔断器、带电散热片等带电体正面加装透明亚克力板进行护挡，以防触电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pStyle w:val="2"/>
              <w:spacing w:line="400" w:lineRule="exact"/>
              <w:ind w:left="240" w:hanging="21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kern w:val="1"/>
                <w:sz w:val="21"/>
                <w:szCs w:val="24"/>
                <w:highlight w:val="none"/>
                <w:lang w:val="en-US" w:eastAsia="zh-CN" w:bidi="ar-SA"/>
              </w:rPr>
              <w:t>9、电器柜为前后门均可以打开结构，并且配有防尘棉盖网，各柜体均采用双色接地线做可靠接地连接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restart"/>
            <w:vAlign w:val="top"/>
          </w:tcPr>
          <w:p>
            <w:pPr>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 xml:space="preserve"> </w:t>
            </w:r>
          </w:p>
          <w:p>
            <w:pPr>
              <w:ind w:firstLine="420" w:firstLineChars="200"/>
              <w:rPr>
                <w:rFonts w:hint="eastAsia" w:ascii="宋体" w:hAnsi="宋体" w:eastAsia="宋体" w:cs="宋体"/>
                <w:color w:val="auto"/>
                <w:highlight w:val="none"/>
                <w:lang w:val="en-US" w:eastAsia="zh-CN"/>
              </w:rPr>
            </w:pPr>
          </w:p>
          <w:p>
            <w:pPr>
              <w:ind w:firstLine="420" w:firstLineChars="200"/>
              <w:rPr>
                <w:rFonts w:hint="eastAsia" w:ascii="宋体" w:hAnsi="宋体" w:eastAsia="宋体" w:cs="宋体"/>
                <w:color w:val="auto"/>
                <w:highlight w:val="none"/>
                <w:lang w:val="en-US" w:eastAsia="zh-CN"/>
              </w:rPr>
            </w:pPr>
          </w:p>
          <w:p>
            <w:pPr>
              <w:ind w:firstLine="42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highlight w:val="none"/>
                <w:lang w:val="en-US" w:eastAsia="zh-CN"/>
              </w:rPr>
              <w:t xml:space="preserve"> 10、设备</w:t>
            </w:r>
            <w:r>
              <w:rPr>
                <w:rFonts w:hint="eastAsia" w:ascii="宋体" w:hAnsi="宋体" w:eastAsia="宋体" w:cs="宋体"/>
                <w:color w:val="auto"/>
                <w:highlight w:val="none"/>
              </w:rPr>
              <w:t>设有下列保护</w:t>
            </w: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①</w:t>
            </w:r>
            <w:r>
              <w:rPr>
                <w:rFonts w:hint="eastAsia" w:ascii="宋体" w:hAnsi="宋体" w:eastAsia="宋体" w:cs="宋体"/>
                <w:color w:val="auto"/>
                <w:highlight w:val="none"/>
              </w:rPr>
              <w:t>调速装置故障报警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pStyle w:val="2"/>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②</w:t>
            </w:r>
            <w:r>
              <w:rPr>
                <w:rFonts w:hint="eastAsia" w:ascii="宋体" w:hAnsi="宋体" w:eastAsia="宋体" w:cs="宋体"/>
                <w:color w:val="auto"/>
                <w:highlight w:val="none"/>
              </w:rPr>
              <w:t>断线停车保护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③</w:t>
            </w:r>
            <w:r>
              <w:rPr>
                <w:rFonts w:hint="eastAsia" w:ascii="宋体" w:hAnsi="宋体" w:eastAsia="宋体" w:cs="宋体"/>
                <w:color w:val="auto"/>
                <w:highlight w:val="none"/>
              </w:rPr>
              <w:t>气源欠压保护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④</w:t>
            </w:r>
            <w:r>
              <w:rPr>
                <w:rFonts w:hint="eastAsia" w:ascii="宋体" w:hAnsi="宋体" w:eastAsia="宋体" w:cs="宋体"/>
                <w:color w:val="auto"/>
                <w:highlight w:val="none"/>
              </w:rPr>
              <w:t>润滑油欠压欠流保护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⑤</w:t>
            </w:r>
            <w:r>
              <w:rPr>
                <w:rFonts w:hint="eastAsia" w:ascii="宋体" w:hAnsi="宋体" w:eastAsia="宋体" w:cs="宋体"/>
                <w:color w:val="auto"/>
                <w:highlight w:val="none"/>
              </w:rPr>
              <w:t>伺服电机冷却液欠压欠流保护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⑥</w:t>
            </w:r>
            <w:r>
              <w:rPr>
                <w:rFonts w:hint="eastAsia" w:ascii="宋体" w:hAnsi="宋体" w:eastAsia="宋体" w:cs="宋体"/>
                <w:color w:val="auto"/>
                <w:highlight w:val="none"/>
              </w:rPr>
              <w:t>拉丝</w:t>
            </w:r>
            <w:r>
              <w:rPr>
                <w:rFonts w:hint="eastAsia" w:ascii="宋体" w:hAnsi="宋体" w:cs="宋体"/>
                <w:color w:val="auto"/>
                <w:highlight w:val="none"/>
                <w:lang w:val="en-US" w:eastAsia="zh-CN"/>
              </w:rPr>
              <w:t>液流量和温度检测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⑦</w:t>
            </w:r>
            <w:r>
              <w:rPr>
                <w:rFonts w:hint="eastAsia" w:ascii="宋体" w:hAnsi="宋体" w:eastAsia="宋体" w:cs="宋体"/>
                <w:color w:val="auto"/>
                <w:highlight w:val="none"/>
              </w:rPr>
              <w:t>退火</w:t>
            </w:r>
            <w:r>
              <w:rPr>
                <w:rFonts w:hint="eastAsia" w:ascii="宋体" w:hAnsi="宋体" w:cs="宋体"/>
                <w:color w:val="auto"/>
                <w:highlight w:val="none"/>
                <w:lang w:val="en-US" w:eastAsia="zh-CN"/>
              </w:rPr>
              <w:t>液流量和温度检测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⑧</w:t>
            </w:r>
            <w:r>
              <w:rPr>
                <w:rFonts w:hint="eastAsia" w:ascii="宋体" w:hAnsi="宋体" w:eastAsia="宋体" w:cs="宋体"/>
                <w:color w:val="auto"/>
                <w:highlight w:val="none"/>
              </w:rPr>
              <w:t>退火轮冷却水欠压报警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672" w:type="dxa"/>
            <w:vMerge w:val="continue"/>
            <w:vAlign w:val="top"/>
          </w:tcPr>
          <w:p>
            <w:pPr>
              <w:rPr>
                <w:rFonts w:hint="eastAsia" w:ascii="宋体" w:hAnsi="宋体" w:eastAsia="宋体" w:cs="宋体"/>
                <w:color w:val="auto"/>
                <w:sz w:val="24"/>
                <w:highlight w:val="none"/>
                <w:lang w:val="en-US" w:eastAsia="zh-CN"/>
              </w:rPr>
            </w:pPr>
          </w:p>
        </w:tc>
        <w:tc>
          <w:tcPr>
            <w:tcW w:w="8336" w:type="dxa"/>
            <w:gridSpan w:val="2"/>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⑨</w:t>
            </w:r>
            <w:r>
              <w:rPr>
                <w:rFonts w:hint="eastAsia" w:ascii="宋体" w:hAnsi="宋体" w:eastAsia="宋体" w:cs="宋体"/>
                <w:b w:val="0"/>
                <w:bCs w:val="0"/>
                <w:color w:val="auto"/>
                <w:highlight w:val="none"/>
                <w:lang w:val="en-US" w:eastAsia="zh-CN"/>
              </w:rPr>
              <w:t>全速运行时，设备急停不能在拉丝处断线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w:t>
            </w:r>
            <w:r>
              <w:rPr>
                <w:rFonts w:hint="eastAsia" w:ascii="宋体" w:hAnsi="宋体" w:eastAsia="宋体" w:cs="宋体"/>
                <w:b w:val="0"/>
                <w:bCs w:val="0"/>
                <w:color w:val="auto"/>
                <w:highlight w:val="none"/>
                <w:lang w:val="en-US" w:eastAsia="zh-CN"/>
              </w:rPr>
              <w:t>)任何生产条件下，功率因素≥0.95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b/>
                <w:bCs/>
                <w:color w:val="auto"/>
                <w:kern w:val="2"/>
                <w:sz w:val="24"/>
                <w:szCs w:val="24"/>
                <w:highlight w:val="none"/>
                <w:lang w:val="en-US" w:eastAsia="zh-CN" w:bidi="ar-SA"/>
              </w:rPr>
              <w:t>信息化要求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kern w:val="2"/>
                <w:sz w:val="24"/>
                <w:szCs w:val="24"/>
                <w:highlight w:val="none"/>
                <w:lang w:val="en-US" w:eastAsia="zh-CN" w:bidi="ar-SA"/>
              </w:rPr>
              <w:t>整机配备独立以太网接口，连接SCADA、MES的以太网接口与连接下层设备的接口要分开，并可以分别设置不同网段IP地址。以太网接口支持Profinet/Profibus和OPC UA通讯协议，支持与公司MES或SCADA系统进行对接通讯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kern w:val="2"/>
                <w:sz w:val="24"/>
                <w:szCs w:val="24"/>
                <w:highlight w:val="none"/>
                <w:lang w:val="en-US" w:eastAsia="zh-CN" w:bidi="ar-SA"/>
              </w:rPr>
              <w:t>设备通讯以太网接口需作为设备验收的条件之一，设备交付需通过通信测试验证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kern w:val="2"/>
                <w:sz w:val="24"/>
                <w:szCs w:val="24"/>
                <w:highlight w:val="none"/>
                <w:lang w:val="en-US" w:eastAsia="zh-CN" w:bidi="ar-SA"/>
              </w:rPr>
              <w:t>工业触摸屏，作为人机交互界面，需至少包含如下功能（不限于此）：工艺参数设定、生产过程监控、设备状态监控、报警信息管理、设备维护保养管理，设备自诊断，生产管理（产量、开工率、订单完成率等）、数据记录和查询、报表功能、数据曲线、人员管理、能耗管理等功能，及手动、半自动、自动控制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restart"/>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kern w:val="2"/>
                <w:sz w:val="24"/>
                <w:szCs w:val="24"/>
                <w:highlight w:val="none"/>
                <w:lang w:val="en-US" w:eastAsia="zh-CN" w:bidi="ar-SA"/>
              </w:rPr>
              <w:t>拉丝机对设备、生产数据进行全面采集、存储和处理，包括不限于以下数据类型，并可向上游MES，SCADA提供以下数据类别（不限于此）</w:t>
            </w:r>
          </w:p>
        </w:tc>
        <w:tc>
          <w:tcPr>
            <w:tcW w:w="6661"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①设备数据类（Machine）：设备状态，设备的关键工艺数据，如速度（每分钟米数/速度百分比）的设定值、实际值等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continue"/>
            <w:vAlign w:val="top"/>
          </w:tcPr>
          <w:p>
            <w:pPr>
              <w:rPr>
                <w:rFonts w:hint="eastAsia" w:ascii="宋体" w:hAnsi="宋体" w:eastAsia="宋体" w:cs="宋体"/>
                <w:color w:val="auto"/>
                <w:sz w:val="24"/>
                <w:highlight w:val="none"/>
                <w:lang w:val="en-US" w:eastAsia="zh-CN"/>
              </w:rPr>
            </w:pPr>
          </w:p>
        </w:tc>
        <w:tc>
          <w:tcPr>
            <w:tcW w:w="6661"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②设备报警类（E&amp;A）：设备的主要报警信息，维护信息，例如：断线检测、出问题的模块（比如电机过载的电机号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continue"/>
            <w:vAlign w:val="top"/>
          </w:tcPr>
          <w:p>
            <w:pPr>
              <w:rPr>
                <w:rFonts w:hint="eastAsia" w:ascii="宋体" w:hAnsi="宋体" w:eastAsia="宋体" w:cs="宋体"/>
                <w:color w:val="auto"/>
                <w:sz w:val="24"/>
                <w:highlight w:val="none"/>
                <w:lang w:val="en-US" w:eastAsia="zh-CN"/>
              </w:rPr>
            </w:pPr>
          </w:p>
        </w:tc>
        <w:tc>
          <w:tcPr>
            <w:tcW w:w="6661"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③生产数据及控制类（Process）：入口线径、出口线径等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continue"/>
            <w:vAlign w:val="top"/>
          </w:tcPr>
          <w:p>
            <w:pPr>
              <w:rPr>
                <w:rFonts w:hint="eastAsia" w:ascii="宋体" w:hAnsi="宋体" w:eastAsia="宋体" w:cs="宋体"/>
                <w:color w:val="auto"/>
                <w:sz w:val="24"/>
                <w:highlight w:val="none"/>
                <w:lang w:val="en-US" w:eastAsia="zh-CN"/>
              </w:rPr>
            </w:pPr>
          </w:p>
        </w:tc>
        <w:tc>
          <w:tcPr>
            <w:tcW w:w="6661" w:type="dxa"/>
            <w:vAlign w:val="top"/>
          </w:tcPr>
          <w:p>
            <w:pPr>
              <w:pStyle w:val="58"/>
              <w:numPr>
                <w:ilvl w:val="0"/>
                <w:numId w:val="0"/>
              </w:num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④生产统计类: 累计生产米数等等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continue"/>
            <w:vAlign w:val="top"/>
          </w:tcPr>
          <w:p>
            <w:pPr>
              <w:rPr>
                <w:rFonts w:hint="eastAsia" w:ascii="宋体" w:hAnsi="宋体" w:eastAsia="宋体" w:cs="宋体"/>
                <w:color w:val="auto"/>
                <w:sz w:val="24"/>
                <w:highlight w:val="none"/>
                <w:lang w:val="en-US" w:eastAsia="zh-CN"/>
              </w:rPr>
            </w:pPr>
          </w:p>
        </w:tc>
        <w:tc>
          <w:tcPr>
            <w:tcW w:w="6661"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⑤设备能耗数据（Energy）：用电量、用气量等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347" w:type="dxa"/>
            <w:gridSpan w:val="2"/>
            <w:vMerge w:val="continue"/>
            <w:vAlign w:val="top"/>
          </w:tcPr>
          <w:p>
            <w:pPr>
              <w:rPr>
                <w:rFonts w:hint="eastAsia" w:ascii="宋体" w:hAnsi="宋体" w:eastAsia="宋体" w:cs="宋体"/>
                <w:color w:val="auto"/>
                <w:sz w:val="24"/>
                <w:highlight w:val="none"/>
                <w:lang w:val="en-US" w:eastAsia="zh-CN"/>
              </w:rPr>
            </w:pPr>
          </w:p>
        </w:tc>
        <w:tc>
          <w:tcPr>
            <w:tcW w:w="6661"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kern w:val="2"/>
                <w:sz w:val="24"/>
                <w:szCs w:val="24"/>
                <w:highlight w:val="none"/>
                <w:lang w:val="en-US" w:eastAsia="zh-CN" w:bidi="ar-SA"/>
              </w:rPr>
              <w:t>⑥质量类数据（Quality）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cs="宋体"/>
                <w:b/>
                <w:color w:val="auto"/>
                <w:sz w:val="24"/>
                <w:highlight w:val="none"/>
                <w:lang w:val="en-US" w:eastAsia="zh-CN"/>
              </w:rPr>
              <w:t>减速箱润滑冷却系统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供应商提供参数数据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 xml:space="preserve">退火铜轮冷却液站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冷却液箱容积</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供应商提供参数数据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冷却液换热器</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供应商提供参数数据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冷却液泵</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供应商提供参数数据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循环冷却水耗量</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供应商提供参数数据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管路配有压力表、压力和温度传感器，具有温度显示和缺液报警功能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cs="宋体"/>
                <w:b/>
                <w:color w:val="auto"/>
                <w:sz w:val="24"/>
                <w:highlight w:val="none"/>
              </w:rPr>
              <w:t>铜粉过滤机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gridSpan w:val="3"/>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供应商提供参数数据</w:t>
            </w:r>
          </w:p>
        </w:tc>
      </w:tr>
    </w:tbl>
    <w:p>
      <w:pPr>
        <w:rPr>
          <w:rFonts w:hint="eastAsia" w:ascii="宋体" w:hAnsi="宋体" w:eastAsia="宋体" w:cs="宋体"/>
          <w:color w:val="auto"/>
          <w:highlight w:val="none"/>
        </w:rPr>
      </w:pPr>
    </w:p>
    <w:p>
      <w:pPr>
        <w:numPr>
          <w:ilvl w:val="0"/>
          <w:numId w:val="2"/>
        </w:numPr>
        <w:adjustRightInd w:val="0"/>
        <w:snapToGrid w:val="0"/>
        <w:spacing w:line="380" w:lineRule="atLeast"/>
        <w:ind w:leftChars="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相关数据填写</w:t>
      </w:r>
    </w:p>
    <w:p>
      <w:pPr>
        <w:numPr>
          <w:ilvl w:val="0"/>
          <w:numId w:val="0"/>
        </w:numPr>
        <w:adjustRightInd w:val="0"/>
        <w:snapToGrid w:val="0"/>
        <w:spacing w:line="380" w:lineRule="atLeast"/>
        <w:ind w:firstLine="480" w:firstLineChars="200"/>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投标单位必须按照以下表格要求提供相关数据，提供数据必须真实有效，一旦中标，相关数据将作为设备最终验收的标准执行。</w:t>
      </w: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1、主要元件的选用品牌</w:t>
      </w:r>
    </w:p>
    <w:tbl>
      <w:tblPr>
        <w:tblStyle w:val="42"/>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12"/>
        <w:gridCol w:w="2299"/>
        <w:gridCol w:w="5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31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电机及其他元件、控制系统</w:t>
            </w: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类型</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伺服电机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传动交流电机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传动轴承</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骨架密封件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气动元件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伺服电机驱动器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交流电机驱动器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PLC</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工业触摸屏</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低压电器(&lt;63A)</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按钮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行程开关</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编码器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电表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导轮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减速器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退火控制器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退火变压器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传动皮带</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退火碳刷</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bl>
    <w:p>
      <w:pPr>
        <w:numPr>
          <w:ilvl w:val="0"/>
          <w:numId w:val="0"/>
        </w:numPr>
        <w:adjustRightInd w:val="0"/>
        <w:snapToGrid w:val="0"/>
        <w:spacing w:line="380" w:lineRule="atLeast"/>
        <w:ind w:leftChars="0"/>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lang w:val="en-US" w:eastAsia="zh-CN"/>
        </w:rPr>
        <w:t>、</w:t>
      </w:r>
      <w:r>
        <w:rPr>
          <w:rFonts w:hint="eastAsia" w:ascii="宋体" w:hAnsi="宋体" w:cs="宋体"/>
          <w:b/>
          <w:color w:val="auto"/>
          <w:szCs w:val="21"/>
          <w:highlight w:val="none"/>
          <w:lang w:val="en-US" w:eastAsia="zh-CN"/>
        </w:rPr>
        <w:t>△</w:t>
      </w:r>
      <w:r>
        <w:rPr>
          <w:rFonts w:hint="eastAsia" w:ascii="宋体" w:hAnsi="宋体" w:eastAsia="宋体" w:cs="宋体"/>
          <w:b/>
          <w:color w:val="auto"/>
          <w:sz w:val="24"/>
          <w:highlight w:val="none"/>
          <w:lang w:val="en-US" w:eastAsia="zh-CN"/>
        </w:rPr>
        <w:t>产品质量和生产线速度</w:t>
      </w:r>
    </w:p>
    <w:p>
      <w:pPr>
        <w:rPr>
          <w:rFonts w:hint="eastAsia" w:ascii="宋体" w:hAnsi="宋体" w:eastAsia="宋体" w:cs="宋体"/>
          <w:color w:val="auto"/>
          <w:highlight w:val="none"/>
        </w:rPr>
      </w:pPr>
    </w:p>
    <w:tbl>
      <w:tblPr>
        <w:tblStyle w:val="42"/>
        <w:tblW w:w="9048"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1715"/>
        <w:gridCol w:w="1411"/>
        <w:gridCol w:w="1340"/>
        <w:gridCol w:w="1270"/>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585" w:type="dxa"/>
            <w:vAlign w:val="center"/>
          </w:tcPr>
          <w:p>
            <w:pPr>
              <w:contextualSpacing/>
              <w:jc w:val="center"/>
              <w:rPr>
                <w:color w:val="auto"/>
                <w:sz w:val="24"/>
                <w:szCs w:val="24"/>
                <w:highlight w:val="none"/>
              </w:rPr>
            </w:pPr>
            <w:r>
              <w:rPr>
                <w:rFonts w:hint="eastAsia"/>
                <w:color w:val="auto"/>
                <w:sz w:val="24"/>
                <w:szCs w:val="24"/>
                <w:highlight w:val="none"/>
              </w:rPr>
              <w:t>规格</w:t>
            </w:r>
          </w:p>
        </w:tc>
        <w:tc>
          <w:tcPr>
            <w:tcW w:w="1715" w:type="dxa"/>
            <w:vAlign w:val="center"/>
          </w:tcPr>
          <w:p>
            <w:pPr>
              <w:contextualSpacing/>
              <w:jc w:val="center"/>
              <w:rPr>
                <w:color w:val="auto"/>
                <w:sz w:val="24"/>
                <w:szCs w:val="24"/>
                <w:highlight w:val="none"/>
              </w:rPr>
            </w:pPr>
            <w:r>
              <w:rPr>
                <w:rFonts w:hint="eastAsia"/>
                <w:color w:val="auto"/>
                <w:sz w:val="24"/>
                <w:szCs w:val="24"/>
                <w:highlight w:val="none"/>
                <w:lang w:val="en-US" w:eastAsia="zh-CN"/>
              </w:rPr>
              <w:t>生产最高</w:t>
            </w:r>
            <w:r>
              <w:rPr>
                <w:rFonts w:hint="eastAsia"/>
                <w:color w:val="auto"/>
                <w:sz w:val="24"/>
                <w:szCs w:val="24"/>
                <w:highlight w:val="none"/>
              </w:rPr>
              <w:t>速度</w:t>
            </w:r>
            <w:r>
              <w:rPr>
                <w:rFonts w:hint="eastAsia" w:ascii="宋体" w:hAnsi="宋体" w:eastAsia="宋体" w:cs="宋体"/>
                <w:color w:val="auto"/>
                <w:sz w:val="22"/>
                <w:szCs w:val="22"/>
                <w:highlight w:val="none"/>
              </w:rPr>
              <w:t>（软线）</w:t>
            </w:r>
            <w:r>
              <w:rPr>
                <w:rFonts w:hint="eastAsia"/>
                <w:color w:val="auto"/>
                <w:sz w:val="24"/>
                <w:szCs w:val="24"/>
                <w:highlight w:val="none"/>
              </w:rPr>
              <w:t>m/s</w:t>
            </w:r>
          </w:p>
        </w:tc>
        <w:tc>
          <w:tcPr>
            <w:tcW w:w="1411" w:type="dxa"/>
            <w:vAlign w:val="center"/>
          </w:tcPr>
          <w:p>
            <w:pPr>
              <w:contextualSpacing/>
              <w:jc w:val="center"/>
              <w:rPr>
                <w:rFonts w:hint="eastAsia"/>
                <w:color w:val="auto"/>
                <w:sz w:val="24"/>
                <w:szCs w:val="24"/>
                <w:highlight w:val="none"/>
              </w:rPr>
            </w:pPr>
            <w:r>
              <w:rPr>
                <w:rFonts w:hint="eastAsia"/>
                <w:color w:val="auto"/>
                <w:sz w:val="24"/>
                <w:szCs w:val="24"/>
                <w:highlight w:val="none"/>
              </w:rPr>
              <w:t>产量t/h</w:t>
            </w:r>
          </w:p>
        </w:tc>
        <w:tc>
          <w:tcPr>
            <w:tcW w:w="1340" w:type="dxa"/>
            <w:vAlign w:val="center"/>
          </w:tcPr>
          <w:p>
            <w:pPr>
              <w:contextualSpacing/>
              <w:jc w:val="center"/>
              <w:rPr>
                <w:color w:val="auto"/>
                <w:sz w:val="24"/>
                <w:szCs w:val="24"/>
                <w:highlight w:val="none"/>
              </w:rPr>
            </w:pPr>
            <w:r>
              <w:rPr>
                <w:rFonts w:hint="eastAsia"/>
                <w:color w:val="auto"/>
                <w:sz w:val="24"/>
                <w:szCs w:val="24"/>
                <w:highlight w:val="none"/>
              </w:rPr>
              <w:t>能耗kwh/t</w:t>
            </w:r>
          </w:p>
        </w:tc>
        <w:tc>
          <w:tcPr>
            <w:tcW w:w="1270" w:type="dxa"/>
            <w:vAlign w:val="center"/>
          </w:tcPr>
          <w:p>
            <w:pPr>
              <w:contextualSpacing/>
              <w:jc w:val="center"/>
              <w:rPr>
                <w:color w:val="auto"/>
                <w:sz w:val="24"/>
                <w:szCs w:val="24"/>
                <w:highlight w:val="none"/>
              </w:rPr>
            </w:pPr>
            <w:r>
              <w:rPr>
                <w:rFonts w:hint="eastAsia"/>
                <w:color w:val="auto"/>
                <w:sz w:val="24"/>
                <w:szCs w:val="24"/>
                <w:highlight w:val="none"/>
              </w:rPr>
              <w:t>退火伸长率</w:t>
            </w:r>
          </w:p>
        </w:tc>
        <w:tc>
          <w:tcPr>
            <w:tcW w:w="1727" w:type="dxa"/>
            <w:vAlign w:val="center"/>
          </w:tcPr>
          <w:p>
            <w:pPr>
              <w:contextualSpacing/>
              <w:jc w:val="center"/>
              <w:rPr>
                <w:rFonts w:hint="eastAsia" w:eastAsia="宋体"/>
                <w:color w:val="auto"/>
                <w:sz w:val="24"/>
                <w:szCs w:val="24"/>
                <w:highlight w:val="none"/>
                <w:lang w:val="en-US" w:eastAsia="zh-CN"/>
              </w:rPr>
            </w:pPr>
            <w:r>
              <w:rPr>
                <w:rFonts w:hint="eastAsia"/>
                <w:color w:val="auto"/>
                <w:sz w:val="24"/>
                <w:szCs w:val="24"/>
                <w:highlight w:val="none"/>
                <w:lang w:val="en-US" w:eastAsia="zh-CN"/>
              </w:rPr>
              <w:t>升降速过程中不合格线长度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585" w:type="dxa"/>
            <w:vAlign w:val="center"/>
          </w:tcPr>
          <w:p>
            <w:pPr>
              <w:adjustRightInd w:val="0"/>
              <w:snapToGrid w:val="0"/>
              <w:spacing w:line="480" w:lineRule="exact"/>
              <w:jc w:val="center"/>
              <w:rPr>
                <w:color w:val="auto"/>
                <w:sz w:val="28"/>
                <w:szCs w:val="28"/>
                <w:highlight w:val="none"/>
              </w:rPr>
            </w:pPr>
            <w:r>
              <w:rPr>
                <w:rFonts w:hint="eastAsia" w:ascii="宋体" w:hAnsi="宋体" w:eastAsia="宋体" w:cs="宋体"/>
                <w:color w:val="auto"/>
                <w:sz w:val="24"/>
                <w:highlight w:val="none"/>
                <w:lang w:val="en-US" w:eastAsia="zh-CN"/>
              </w:rPr>
              <w:t>2×φ</w:t>
            </w:r>
            <w:r>
              <w:rPr>
                <w:rFonts w:hint="eastAsia" w:ascii="宋体" w:hAnsi="宋体" w:eastAsia="宋体" w:cs="宋体"/>
                <w:color w:val="auto"/>
                <w:sz w:val="24"/>
                <w:highlight w:val="none"/>
              </w:rPr>
              <w:t>1.6</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 xml:space="preserve"> mm</w:t>
            </w:r>
          </w:p>
        </w:tc>
        <w:tc>
          <w:tcPr>
            <w:tcW w:w="1715" w:type="dxa"/>
            <w:vAlign w:val="center"/>
          </w:tcPr>
          <w:p>
            <w:pPr>
              <w:contextualSpacing/>
              <w:jc w:val="center"/>
              <w:rPr>
                <w:color w:val="auto"/>
                <w:sz w:val="28"/>
                <w:szCs w:val="28"/>
                <w:highlight w:val="none"/>
              </w:rPr>
            </w:pPr>
          </w:p>
        </w:tc>
        <w:tc>
          <w:tcPr>
            <w:tcW w:w="1411" w:type="dxa"/>
            <w:vAlign w:val="top"/>
          </w:tcPr>
          <w:p>
            <w:pPr>
              <w:contextualSpacing/>
              <w:jc w:val="center"/>
              <w:rPr>
                <w:color w:val="auto"/>
                <w:sz w:val="28"/>
                <w:szCs w:val="28"/>
                <w:highlight w:val="none"/>
              </w:rPr>
            </w:pPr>
          </w:p>
        </w:tc>
        <w:tc>
          <w:tcPr>
            <w:tcW w:w="1340" w:type="dxa"/>
            <w:vAlign w:val="center"/>
          </w:tcPr>
          <w:p>
            <w:pPr>
              <w:contextualSpacing/>
              <w:jc w:val="center"/>
              <w:rPr>
                <w:color w:val="auto"/>
                <w:sz w:val="28"/>
                <w:szCs w:val="28"/>
                <w:highlight w:val="none"/>
              </w:rPr>
            </w:pPr>
          </w:p>
        </w:tc>
        <w:tc>
          <w:tcPr>
            <w:tcW w:w="1270" w:type="dxa"/>
            <w:vAlign w:val="center"/>
          </w:tcPr>
          <w:p>
            <w:pPr>
              <w:contextualSpacing/>
              <w:jc w:val="center"/>
              <w:rPr>
                <w:color w:val="auto"/>
                <w:sz w:val="28"/>
                <w:szCs w:val="28"/>
                <w:highlight w:val="none"/>
              </w:rPr>
            </w:pPr>
          </w:p>
        </w:tc>
        <w:tc>
          <w:tcPr>
            <w:tcW w:w="1727" w:type="dxa"/>
            <w:vAlign w:val="center"/>
          </w:tcPr>
          <w:p>
            <w:pPr>
              <w:contextualSpacing/>
              <w:jc w:val="cente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1585" w:type="dxa"/>
            <w:vAlign w:val="center"/>
          </w:tcPr>
          <w:p>
            <w:pPr>
              <w:adjustRightInd w:val="0"/>
              <w:snapToGrid w:val="0"/>
              <w:spacing w:line="480" w:lineRule="exact"/>
              <w:jc w:val="center"/>
              <w:rPr>
                <w:color w:val="auto"/>
                <w:sz w:val="28"/>
                <w:szCs w:val="28"/>
                <w:highlight w:val="none"/>
              </w:rPr>
            </w:pPr>
            <w:r>
              <w:rPr>
                <w:rFonts w:hint="eastAsia" w:ascii="宋体" w:hAnsi="宋体" w:eastAsia="宋体" w:cs="宋体"/>
                <w:color w:val="auto"/>
                <w:sz w:val="24"/>
                <w:highlight w:val="none"/>
                <w:lang w:val="en-US" w:eastAsia="zh-CN"/>
              </w:rPr>
              <w:t>2×φ</w:t>
            </w: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61</w:t>
            </w:r>
            <w:r>
              <w:rPr>
                <w:rFonts w:hint="eastAsia" w:ascii="宋体" w:hAnsi="宋体" w:eastAsia="宋体" w:cs="宋体"/>
                <w:color w:val="auto"/>
                <w:sz w:val="24"/>
                <w:highlight w:val="none"/>
              </w:rPr>
              <w:t xml:space="preserve"> mm</w:t>
            </w:r>
          </w:p>
        </w:tc>
        <w:tc>
          <w:tcPr>
            <w:tcW w:w="1715" w:type="dxa"/>
            <w:vAlign w:val="center"/>
          </w:tcPr>
          <w:p>
            <w:pPr>
              <w:contextualSpacing/>
              <w:jc w:val="center"/>
              <w:rPr>
                <w:color w:val="auto"/>
                <w:sz w:val="28"/>
                <w:szCs w:val="28"/>
                <w:highlight w:val="none"/>
              </w:rPr>
            </w:pPr>
          </w:p>
        </w:tc>
        <w:tc>
          <w:tcPr>
            <w:tcW w:w="1411" w:type="dxa"/>
            <w:vAlign w:val="top"/>
          </w:tcPr>
          <w:p>
            <w:pPr>
              <w:contextualSpacing/>
              <w:jc w:val="center"/>
              <w:rPr>
                <w:color w:val="auto"/>
                <w:sz w:val="28"/>
                <w:szCs w:val="28"/>
                <w:highlight w:val="none"/>
              </w:rPr>
            </w:pPr>
          </w:p>
        </w:tc>
        <w:tc>
          <w:tcPr>
            <w:tcW w:w="1340" w:type="dxa"/>
            <w:vAlign w:val="center"/>
          </w:tcPr>
          <w:p>
            <w:pPr>
              <w:contextualSpacing/>
              <w:jc w:val="center"/>
              <w:rPr>
                <w:color w:val="auto"/>
                <w:sz w:val="28"/>
                <w:szCs w:val="28"/>
                <w:highlight w:val="none"/>
              </w:rPr>
            </w:pPr>
          </w:p>
        </w:tc>
        <w:tc>
          <w:tcPr>
            <w:tcW w:w="1270" w:type="dxa"/>
            <w:vAlign w:val="center"/>
          </w:tcPr>
          <w:p>
            <w:pPr>
              <w:contextualSpacing/>
              <w:jc w:val="center"/>
              <w:rPr>
                <w:color w:val="auto"/>
                <w:sz w:val="28"/>
                <w:szCs w:val="28"/>
                <w:highlight w:val="none"/>
              </w:rPr>
            </w:pPr>
          </w:p>
        </w:tc>
        <w:tc>
          <w:tcPr>
            <w:tcW w:w="1727" w:type="dxa"/>
            <w:vAlign w:val="center"/>
          </w:tcPr>
          <w:p>
            <w:pPr>
              <w:contextualSpacing/>
              <w:jc w:val="cente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585" w:type="dxa"/>
            <w:vAlign w:val="center"/>
          </w:tcPr>
          <w:p>
            <w:pPr>
              <w:adjustRightInd w:val="0"/>
              <w:snapToGrid w:val="0"/>
              <w:spacing w:line="480" w:lineRule="exact"/>
              <w:jc w:val="center"/>
              <w:rPr>
                <w:color w:val="auto"/>
                <w:sz w:val="28"/>
                <w:szCs w:val="28"/>
                <w:highlight w:val="none"/>
              </w:rPr>
            </w:pPr>
            <w:r>
              <w:rPr>
                <w:rFonts w:hint="eastAsia" w:ascii="宋体" w:hAnsi="宋体" w:eastAsia="宋体" w:cs="宋体"/>
                <w:color w:val="auto"/>
                <w:sz w:val="24"/>
                <w:highlight w:val="none"/>
                <w:lang w:val="en-US" w:eastAsia="zh-CN"/>
              </w:rPr>
              <w:t>2×φ3.5</w:t>
            </w:r>
            <w:r>
              <w:rPr>
                <w:rFonts w:hint="eastAsia" w:ascii="宋体" w:hAnsi="宋体" w:eastAsia="宋体" w:cs="宋体"/>
                <w:color w:val="auto"/>
                <w:sz w:val="24"/>
                <w:highlight w:val="none"/>
              </w:rPr>
              <w:t xml:space="preserve"> mm</w:t>
            </w:r>
          </w:p>
        </w:tc>
        <w:tc>
          <w:tcPr>
            <w:tcW w:w="1715" w:type="dxa"/>
            <w:vAlign w:val="center"/>
          </w:tcPr>
          <w:p>
            <w:pPr>
              <w:contextualSpacing/>
              <w:jc w:val="center"/>
              <w:rPr>
                <w:color w:val="auto"/>
                <w:sz w:val="28"/>
                <w:szCs w:val="28"/>
                <w:highlight w:val="none"/>
              </w:rPr>
            </w:pPr>
          </w:p>
        </w:tc>
        <w:tc>
          <w:tcPr>
            <w:tcW w:w="1411" w:type="dxa"/>
            <w:vAlign w:val="top"/>
          </w:tcPr>
          <w:p>
            <w:pPr>
              <w:contextualSpacing/>
              <w:jc w:val="center"/>
              <w:rPr>
                <w:color w:val="auto"/>
                <w:sz w:val="28"/>
                <w:szCs w:val="28"/>
                <w:highlight w:val="none"/>
              </w:rPr>
            </w:pPr>
          </w:p>
        </w:tc>
        <w:tc>
          <w:tcPr>
            <w:tcW w:w="1340" w:type="dxa"/>
            <w:vAlign w:val="center"/>
          </w:tcPr>
          <w:p>
            <w:pPr>
              <w:contextualSpacing/>
              <w:jc w:val="center"/>
              <w:rPr>
                <w:color w:val="auto"/>
                <w:sz w:val="28"/>
                <w:szCs w:val="28"/>
                <w:highlight w:val="none"/>
              </w:rPr>
            </w:pPr>
          </w:p>
        </w:tc>
        <w:tc>
          <w:tcPr>
            <w:tcW w:w="1270" w:type="dxa"/>
            <w:vAlign w:val="center"/>
          </w:tcPr>
          <w:p>
            <w:pPr>
              <w:contextualSpacing/>
              <w:jc w:val="center"/>
              <w:rPr>
                <w:color w:val="auto"/>
                <w:sz w:val="28"/>
                <w:szCs w:val="28"/>
                <w:highlight w:val="none"/>
              </w:rPr>
            </w:pPr>
          </w:p>
        </w:tc>
        <w:tc>
          <w:tcPr>
            <w:tcW w:w="1727" w:type="dxa"/>
            <w:vAlign w:val="center"/>
          </w:tcPr>
          <w:p>
            <w:pPr>
              <w:contextualSpacing/>
              <w:jc w:val="cente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585" w:type="dxa"/>
            <w:vAlign w:val="center"/>
          </w:tcPr>
          <w:p>
            <w:pPr>
              <w:adjustRightInd w:val="0"/>
              <w:snapToGrid w:val="0"/>
              <w:spacing w:line="480" w:lineRule="exact"/>
              <w:jc w:val="center"/>
              <w:rPr>
                <w:color w:val="auto"/>
                <w:sz w:val="28"/>
                <w:szCs w:val="28"/>
                <w:highlight w:val="none"/>
              </w:rPr>
            </w:pPr>
            <w:r>
              <w:rPr>
                <w:rFonts w:hint="eastAsia" w:ascii="宋体" w:hAnsi="宋体" w:eastAsia="宋体" w:cs="宋体"/>
                <w:color w:val="auto"/>
                <w:sz w:val="24"/>
                <w:highlight w:val="none"/>
                <w:lang w:val="en-US" w:eastAsia="zh-CN"/>
              </w:rPr>
              <w:t>φ4.5</w:t>
            </w:r>
            <w:r>
              <w:rPr>
                <w:rFonts w:hint="eastAsia" w:ascii="宋体" w:hAnsi="宋体" w:eastAsia="宋体" w:cs="宋体"/>
                <w:color w:val="auto"/>
                <w:sz w:val="24"/>
                <w:highlight w:val="none"/>
              </w:rPr>
              <w:t xml:space="preserve"> mm</w:t>
            </w:r>
          </w:p>
        </w:tc>
        <w:tc>
          <w:tcPr>
            <w:tcW w:w="1715" w:type="dxa"/>
            <w:vAlign w:val="center"/>
          </w:tcPr>
          <w:p>
            <w:pPr>
              <w:contextualSpacing/>
              <w:jc w:val="center"/>
              <w:rPr>
                <w:color w:val="auto"/>
                <w:sz w:val="28"/>
                <w:szCs w:val="28"/>
                <w:highlight w:val="none"/>
              </w:rPr>
            </w:pPr>
          </w:p>
        </w:tc>
        <w:tc>
          <w:tcPr>
            <w:tcW w:w="1411" w:type="dxa"/>
            <w:vAlign w:val="top"/>
          </w:tcPr>
          <w:p>
            <w:pPr>
              <w:contextualSpacing/>
              <w:jc w:val="center"/>
              <w:rPr>
                <w:color w:val="auto"/>
                <w:sz w:val="28"/>
                <w:szCs w:val="28"/>
                <w:highlight w:val="none"/>
              </w:rPr>
            </w:pPr>
          </w:p>
        </w:tc>
        <w:tc>
          <w:tcPr>
            <w:tcW w:w="1340" w:type="dxa"/>
            <w:vAlign w:val="center"/>
          </w:tcPr>
          <w:p>
            <w:pPr>
              <w:contextualSpacing/>
              <w:jc w:val="center"/>
              <w:rPr>
                <w:color w:val="auto"/>
                <w:sz w:val="28"/>
                <w:szCs w:val="28"/>
                <w:highlight w:val="none"/>
              </w:rPr>
            </w:pPr>
          </w:p>
        </w:tc>
        <w:tc>
          <w:tcPr>
            <w:tcW w:w="1270" w:type="dxa"/>
            <w:vAlign w:val="center"/>
          </w:tcPr>
          <w:p>
            <w:pPr>
              <w:contextualSpacing/>
              <w:jc w:val="center"/>
              <w:rPr>
                <w:color w:val="auto"/>
                <w:sz w:val="28"/>
                <w:szCs w:val="28"/>
                <w:highlight w:val="none"/>
              </w:rPr>
            </w:pPr>
          </w:p>
        </w:tc>
        <w:tc>
          <w:tcPr>
            <w:tcW w:w="1727" w:type="dxa"/>
            <w:vAlign w:val="center"/>
          </w:tcPr>
          <w:p>
            <w:pPr>
              <w:contextualSpacing/>
              <w:jc w:val="center"/>
              <w:rPr>
                <w:color w:val="auto"/>
                <w:sz w:val="28"/>
                <w:szCs w:val="28"/>
                <w:highlight w:val="none"/>
              </w:rPr>
            </w:pPr>
          </w:p>
        </w:tc>
      </w:tr>
    </w:tbl>
    <w:p>
      <w:pPr>
        <w:numPr>
          <w:ilvl w:val="0"/>
          <w:numId w:val="0"/>
        </w:numPr>
        <w:adjustRightInd w:val="0"/>
        <w:snapToGrid w:val="0"/>
        <w:spacing w:line="380" w:lineRule="atLeast"/>
        <w:ind w:leftChars="0"/>
        <w:rPr>
          <w:rFonts w:hint="eastAsia" w:ascii="宋体" w:hAnsi="宋体" w:eastAsia="宋体" w:cs="宋体"/>
          <w:b/>
          <w:color w:val="auto"/>
          <w:sz w:val="24"/>
        </w:rPr>
      </w:pPr>
      <w:r>
        <w:rPr>
          <w:rFonts w:hint="eastAsia" w:ascii="宋体" w:hAnsi="宋体" w:cs="宋体"/>
          <w:b/>
          <w:color w:val="auto"/>
          <w:sz w:val="24"/>
          <w:lang w:val="en-US" w:eastAsia="zh-CN"/>
        </w:rPr>
        <w:t>3、</w:t>
      </w:r>
      <w:r>
        <w:rPr>
          <w:rFonts w:hint="eastAsia" w:ascii="宋体" w:hAnsi="宋体" w:eastAsia="宋体" w:cs="宋体"/>
          <w:b/>
          <w:color w:val="auto"/>
          <w:sz w:val="24"/>
          <w:lang w:val="en-US" w:eastAsia="zh-CN"/>
        </w:rPr>
        <w:t>设备特性补充说明</w:t>
      </w:r>
    </w:p>
    <w:p>
      <w:pPr>
        <w:numPr>
          <w:ilvl w:val="0"/>
          <w:numId w:val="0"/>
        </w:numPr>
        <w:adjustRightInd w:val="0"/>
        <w:snapToGrid w:val="0"/>
        <w:spacing w:line="360" w:lineRule="exact"/>
        <w:rPr>
          <w:rFonts w:hint="eastAsia" w:ascii="宋体" w:hAnsi="宋体" w:eastAsia="宋体" w:cs="宋体"/>
          <w:b/>
          <w:bCs/>
          <w:color w:val="FF0000"/>
          <w:sz w:val="24"/>
          <w:lang w:val="en-US" w:eastAsia="zh-CN"/>
        </w:rPr>
      </w:pPr>
      <w:r>
        <w:rPr>
          <w:rFonts w:hint="eastAsia" w:ascii="宋体" w:hAnsi="宋体" w:eastAsia="宋体" w:cs="宋体"/>
          <w:b/>
          <w:bCs/>
          <w:color w:val="FF0000"/>
          <w:sz w:val="24"/>
          <w:lang w:val="en-US" w:eastAsia="zh-CN"/>
        </w:rPr>
        <w:t>a)供应商对自身产品技术、配置、产品整机可靠性、质量稳定性、生产工艺合理性、技术成熟程度进行具体阐述。</w:t>
      </w:r>
    </w:p>
    <w:p>
      <w:pPr>
        <w:numPr>
          <w:ilvl w:val="0"/>
          <w:numId w:val="0"/>
        </w:numPr>
        <w:adjustRightInd w:val="0"/>
        <w:snapToGrid w:val="0"/>
        <w:spacing w:line="360" w:lineRule="exact"/>
        <w:rPr>
          <w:rFonts w:hint="eastAsia" w:ascii="宋体" w:hAnsi="宋体" w:eastAsia="宋体" w:cs="宋体"/>
          <w:b/>
          <w:bCs/>
          <w:color w:val="FF0000"/>
          <w:lang w:val="en-US" w:eastAsia="zh-CN"/>
        </w:rPr>
      </w:pPr>
      <w:r>
        <w:rPr>
          <w:rFonts w:hint="eastAsia" w:ascii="宋体" w:hAnsi="宋体" w:cs="宋体"/>
          <w:color w:val="auto"/>
          <w:sz w:val="24"/>
          <w:lang w:val="en-US" w:eastAsia="zh-CN"/>
        </w:rPr>
        <w:t>b）</w:t>
      </w:r>
      <w:r>
        <w:rPr>
          <w:rFonts w:hint="eastAsia" w:ascii="宋体" w:hAnsi="宋体" w:eastAsia="宋体" w:cs="宋体"/>
          <w:b/>
          <w:bCs/>
          <w:color w:val="FF0000"/>
          <w:sz w:val="24"/>
          <w:lang w:val="en-US" w:eastAsia="zh-CN"/>
        </w:rPr>
        <w:t>设备优势说明，重点介绍贵司拉丝设备与国内竞争对手的优势所在</w:t>
      </w:r>
      <w:r>
        <w:rPr>
          <w:rFonts w:hint="eastAsia" w:ascii="宋体" w:hAnsi="宋体" w:cs="宋体"/>
          <w:b/>
          <w:bCs/>
          <w:color w:val="FF0000"/>
          <w:sz w:val="24"/>
          <w:lang w:val="en-US" w:eastAsia="zh-CN"/>
        </w:rPr>
        <w:t>。</w:t>
      </w:r>
    </w:p>
    <w:p>
      <w:pPr>
        <w:numPr>
          <w:ilvl w:val="0"/>
          <w:numId w:val="0"/>
        </w:numPr>
      </w:pPr>
      <w:r>
        <w:rPr>
          <w:rFonts w:hint="eastAsia"/>
          <w:lang w:val="en-US" w:eastAsia="zh-CN"/>
        </w:rPr>
        <w:t xml:space="preserve"> </w:t>
      </w:r>
    </w:p>
    <w:p>
      <w:pPr>
        <w:pStyle w:val="36"/>
      </w:pPr>
      <w:bookmarkStart w:id="74" w:name="_Toc42003710"/>
      <w:bookmarkEnd w:id="74"/>
      <w:bookmarkStart w:id="75" w:name="_Toc69378302"/>
      <w:r>
        <w:t>第四部分  合同基本条款</w:t>
      </w:r>
      <w:bookmarkEnd w:id="75"/>
    </w:p>
    <w:p>
      <w:pPr>
        <w:pStyle w:val="63"/>
        <w:spacing w:line="460" w:lineRule="exact"/>
        <w:ind w:right="-74" w:firstLine="0"/>
        <w:jc w:val="center"/>
        <w:rPr>
          <w:sz w:val="28"/>
          <w:szCs w:val="28"/>
        </w:rPr>
      </w:pPr>
      <w:bookmarkStart w:id="76" w:name="_Toc263773416"/>
      <w:bookmarkEnd w:id="76"/>
      <w:bookmarkStart w:id="77" w:name="_Toc42003711"/>
      <w:bookmarkEnd w:id="77"/>
      <w:bookmarkStart w:id="78" w:name="_Toc159064299"/>
      <w:bookmarkEnd w:id="78"/>
      <w:r>
        <w:rPr>
          <w:sz w:val="28"/>
          <w:szCs w:val="28"/>
        </w:rPr>
        <w:t>一</w:t>
      </w:r>
      <w:r>
        <w:rPr>
          <w:rFonts w:hint="eastAsia"/>
          <w:sz w:val="28"/>
          <w:szCs w:val="28"/>
        </w:rPr>
        <w:t>、</w:t>
      </w:r>
      <w:r>
        <w:rPr>
          <w:sz w:val="28"/>
          <w:szCs w:val="28"/>
        </w:rPr>
        <w:t>合同条款前附表</w:t>
      </w:r>
    </w:p>
    <w:p>
      <w:pPr>
        <w:spacing w:line="360" w:lineRule="auto"/>
        <w:ind w:firstLine="240"/>
        <w:rPr>
          <w:rFonts w:ascii="宋体" w:hAnsi="宋体" w:cs="宋体"/>
        </w:rPr>
      </w:pPr>
      <w:r>
        <w:rPr>
          <w:rFonts w:hint="eastAsia" w:ascii="宋体" w:hAnsi="宋体" w:cs="宋体"/>
          <w:sz w:val="24"/>
        </w:rPr>
        <w:t>下述具体资料是对合同条款的具体补充和修改，如果有矛盾的话，应以本资料表为准。</w:t>
      </w:r>
    </w:p>
    <w:tbl>
      <w:tblPr>
        <w:tblStyle w:val="42"/>
        <w:tblW w:w="9048" w:type="dxa"/>
        <w:jc w:val="center"/>
        <w:tblInd w:w="0" w:type="dxa"/>
        <w:tblLayout w:type="fixed"/>
        <w:tblCellMar>
          <w:top w:w="0" w:type="dxa"/>
          <w:left w:w="10" w:type="dxa"/>
          <w:bottom w:w="0" w:type="dxa"/>
          <w:right w:w="10" w:type="dxa"/>
        </w:tblCellMar>
      </w:tblPr>
      <w:tblGrid>
        <w:gridCol w:w="983"/>
        <w:gridCol w:w="8065"/>
      </w:tblGrid>
      <w:tr>
        <w:tblPrEx>
          <w:tblLayout w:type="fixed"/>
          <w:tblCellMar>
            <w:top w:w="0" w:type="dxa"/>
            <w:left w:w="10" w:type="dxa"/>
            <w:bottom w:w="0" w:type="dxa"/>
            <w:right w:w="10" w:type="dxa"/>
          </w:tblCellMar>
        </w:tblPrEx>
        <w:trPr>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序号</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内容</w:t>
            </w:r>
          </w:p>
        </w:tc>
      </w:tr>
      <w:tr>
        <w:tblPrEx>
          <w:tblLayout w:type="fixed"/>
          <w:tblCellMar>
            <w:top w:w="0" w:type="dxa"/>
            <w:left w:w="10" w:type="dxa"/>
            <w:bottom w:w="0" w:type="dxa"/>
            <w:right w:w="10" w:type="dxa"/>
          </w:tblCellMar>
        </w:tblPrEx>
        <w:trPr>
          <w:trHeight w:val="956"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1</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ascii="宋体" w:hAnsi="宋体"/>
                <w:color w:val="FF0000"/>
                <w:sz w:val="24"/>
              </w:rPr>
            </w:pPr>
            <w:r>
              <w:rPr>
                <w:rFonts w:hint="eastAsia" w:ascii="宋体" w:hAnsi="宋体"/>
                <w:sz w:val="24"/>
              </w:rPr>
              <w:t>1、预付款</w:t>
            </w:r>
            <w:r>
              <w:rPr>
                <w:rFonts w:hint="eastAsia" w:ascii="宋体" w:hAnsi="宋体"/>
                <w:sz w:val="24"/>
                <w:lang w:eastAsia="zh-CN"/>
              </w:rPr>
              <w:t>：</w:t>
            </w:r>
            <w:r>
              <w:rPr>
                <w:rFonts w:hint="eastAsia" w:ascii="宋体" w:hAnsi="宋体"/>
                <w:sz w:val="24"/>
              </w:rPr>
              <w:t>合同经甲、乙双方代表签字盖章后生效，甲方随即向乙方以银行账户转账形式支付合同总额的30%作为预付款</w:t>
            </w:r>
            <w:r>
              <w:rPr>
                <w:rFonts w:hint="eastAsia" w:ascii="宋体" w:hAnsi="宋体"/>
                <w:color w:val="FF0000"/>
                <w:sz w:val="24"/>
                <w:lang w:eastAsia="zh-CN"/>
              </w:rPr>
              <w:t>（</w:t>
            </w:r>
            <w:r>
              <w:rPr>
                <w:rFonts w:hint="eastAsia" w:ascii="宋体" w:hAnsi="宋体"/>
                <w:color w:val="FF0000"/>
                <w:sz w:val="24"/>
              </w:rPr>
              <w:t>开具与预付款等额的银行履约保函</w:t>
            </w:r>
            <w:r>
              <w:rPr>
                <w:rFonts w:hint="eastAsia" w:ascii="宋体" w:hAnsi="宋体"/>
                <w:color w:val="FF0000"/>
                <w:sz w:val="24"/>
                <w:lang w:eastAsia="zh-CN"/>
              </w:rPr>
              <w:t>）</w:t>
            </w:r>
            <w:r>
              <w:rPr>
                <w:rFonts w:hint="eastAsia" w:ascii="宋体" w:hAnsi="宋体"/>
                <w:color w:val="FF0000"/>
                <w:sz w:val="24"/>
              </w:rPr>
              <w:t>；</w:t>
            </w:r>
          </w:p>
          <w:p>
            <w:pPr>
              <w:spacing w:line="360" w:lineRule="auto"/>
              <w:ind w:left="29" w:hanging="29"/>
              <w:rPr>
                <w:rFonts w:hint="eastAsia" w:ascii="宋体" w:hAnsi="宋体"/>
                <w:sz w:val="24"/>
              </w:rPr>
            </w:pPr>
            <w:r>
              <w:rPr>
                <w:rFonts w:hint="eastAsia" w:ascii="宋体" w:hAnsi="宋体"/>
                <w:sz w:val="24"/>
              </w:rPr>
              <w:t>2、提货款</w:t>
            </w:r>
            <w:r>
              <w:rPr>
                <w:rFonts w:hint="eastAsia" w:ascii="宋体" w:hAnsi="宋体"/>
                <w:sz w:val="24"/>
                <w:lang w:eastAsia="zh-CN"/>
              </w:rPr>
              <w:t>：</w:t>
            </w:r>
            <w:r>
              <w:rPr>
                <w:rFonts w:hint="eastAsia" w:ascii="宋体" w:hAnsi="宋体"/>
                <w:sz w:val="24"/>
              </w:rPr>
              <w:t>合同设备发货前，甲方到乙方工厂初步</w:t>
            </w:r>
            <w:r>
              <w:rPr>
                <w:rFonts w:hint="eastAsia" w:ascii="宋体" w:hAnsi="宋体"/>
                <w:sz w:val="24"/>
                <w:lang w:eastAsia="zh-CN"/>
              </w:rPr>
              <w:t>外观和设备清单</w:t>
            </w:r>
            <w:r>
              <w:rPr>
                <w:rFonts w:hint="eastAsia" w:ascii="宋体" w:hAnsi="宋体"/>
                <w:sz w:val="24"/>
              </w:rPr>
              <w:t>验收</w:t>
            </w:r>
            <w:r>
              <w:rPr>
                <w:rFonts w:hint="eastAsia" w:ascii="宋体" w:hAnsi="宋体"/>
                <w:sz w:val="24"/>
                <w:lang w:eastAsia="zh-CN"/>
              </w:rPr>
              <w:t>合格后</w:t>
            </w:r>
            <w:r>
              <w:rPr>
                <w:rFonts w:hint="eastAsia" w:ascii="宋体" w:hAnsi="宋体"/>
                <w:sz w:val="24"/>
              </w:rPr>
              <w:t>，于七个工作日内向乙方以银行账户转账形式支付合同总价的</w:t>
            </w:r>
            <w:r>
              <w:rPr>
                <w:rFonts w:hint="eastAsia" w:ascii="宋体" w:hAnsi="宋体"/>
                <w:sz w:val="24"/>
                <w:lang w:val="en-US" w:eastAsia="zh-CN"/>
              </w:rPr>
              <w:t>3</w:t>
            </w:r>
            <w:r>
              <w:rPr>
                <w:rFonts w:hint="eastAsia" w:ascii="宋体" w:hAnsi="宋体"/>
                <w:sz w:val="24"/>
              </w:rPr>
              <w:t>0%作为提货款（在这之前，需乙方提供合同设备总金额的合法发票）；</w:t>
            </w:r>
          </w:p>
          <w:p>
            <w:pPr>
              <w:spacing w:line="360" w:lineRule="auto"/>
              <w:ind w:left="29" w:hanging="29"/>
              <w:rPr>
                <w:rFonts w:hint="eastAsia" w:ascii="宋体" w:hAnsi="宋体"/>
                <w:sz w:val="24"/>
              </w:rPr>
            </w:pPr>
            <w:r>
              <w:rPr>
                <w:rFonts w:hint="eastAsia" w:ascii="宋体" w:hAnsi="宋体"/>
                <w:sz w:val="24"/>
              </w:rPr>
              <w:t>3、验收款</w:t>
            </w:r>
            <w:r>
              <w:rPr>
                <w:rFonts w:hint="eastAsia" w:ascii="宋体" w:hAnsi="宋体"/>
                <w:sz w:val="24"/>
                <w:lang w:eastAsia="zh-CN"/>
              </w:rPr>
              <w:t>：</w:t>
            </w:r>
            <w:r>
              <w:rPr>
                <w:rFonts w:hint="eastAsia" w:ascii="宋体" w:hAnsi="宋体"/>
                <w:sz w:val="24"/>
              </w:rPr>
              <w:t>合同设备依照交货期限运抵甲方指定交货地后，甲方依照本合同附件之质量要求及技术标准对合同设备进行验收，甲方出具书面验收合格报告后，于七个工作日内向乙方以银行账户转账形式支付合同总价的</w:t>
            </w:r>
            <w:r>
              <w:rPr>
                <w:rFonts w:hint="eastAsia" w:ascii="宋体" w:hAnsi="宋体"/>
                <w:sz w:val="24"/>
                <w:lang w:val="en-US" w:eastAsia="zh-CN"/>
              </w:rPr>
              <w:t>30</w:t>
            </w:r>
            <w:r>
              <w:rPr>
                <w:rFonts w:hint="eastAsia" w:ascii="宋体" w:hAnsi="宋体"/>
                <w:sz w:val="24"/>
              </w:rPr>
              <w:t>%作为验收款；</w:t>
            </w:r>
          </w:p>
          <w:p>
            <w:pPr>
              <w:spacing w:line="360" w:lineRule="auto"/>
              <w:ind w:left="29" w:hanging="29"/>
              <w:rPr>
                <w:rFonts w:ascii="宋体" w:hAnsi="宋体" w:cs="宋体"/>
                <w:b/>
                <w:bCs/>
                <w:sz w:val="24"/>
              </w:rPr>
            </w:pPr>
            <w:r>
              <w:rPr>
                <w:rFonts w:hint="eastAsia" w:ascii="宋体" w:hAnsi="宋体"/>
                <w:sz w:val="24"/>
              </w:rPr>
              <w:t>4、质保金</w:t>
            </w:r>
            <w:r>
              <w:rPr>
                <w:rFonts w:hint="eastAsia" w:ascii="宋体" w:hAnsi="宋体"/>
                <w:sz w:val="24"/>
                <w:lang w:eastAsia="zh-CN"/>
              </w:rPr>
              <w:t>：</w:t>
            </w:r>
            <w:r>
              <w:rPr>
                <w:rFonts w:hint="eastAsia" w:ascii="宋体" w:hAnsi="宋体"/>
                <w:sz w:val="24"/>
              </w:rPr>
              <w:t>剩余合同总价的</w:t>
            </w:r>
            <w:r>
              <w:rPr>
                <w:rFonts w:hint="eastAsia" w:ascii="宋体" w:hAnsi="宋体"/>
                <w:sz w:val="24"/>
                <w:lang w:val="en-US" w:eastAsia="zh-CN"/>
              </w:rPr>
              <w:t>10</w:t>
            </w:r>
            <w:r>
              <w:rPr>
                <w:rFonts w:hint="eastAsia" w:ascii="宋体" w:hAnsi="宋体"/>
                <w:sz w:val="24"/>
              </w:rPr>
              <w:t>%作为质保金，从验收报告生效之日开始计算整一年后结束。设备在质保期内无任何质量问题、质保期满甲方未向乙方索赔或索赔完成、扣除相应违约金后，乙方应向甲方发书面质保金支付申请，经甲方审核后向乙方以银行账户转账形式付清。</w:t>
            </w:r>
          </w:p>
        </w:tc>
      </w:tr>
      <w:tr>
        <w:tblPrEx>
          <w:tblLayout w:type="fixed"/>
          <w:tblCellMar>
            <w:top w:w="0" w:type="dxa"/>
            <w:left w:w="10" w:type="dxa"/>
            <w:bottom w:w="0" w:type="dxa"/>
            <w:right w:w="10" w:type="dxa"/>
          </w:tblCellMar>
        </w:tblPrEx>
        <w:trPr>
          <w:trHeight w:val="732"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2</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rFonts w:hint="eastAsia" w:ascii="宋体" w:hAnsi="宋体" w:cs="宋体"/>
                <w:sz w:val="24"/>
              </w:rPr>
              <w:t>质量保证期：</w:t>
            </w:r>
            <w:r>
              <w:rPr>
                <w:rFonts w:hint="eastAsia" w:ascii="宋体" w:hAnsi="宋体"/>
                <w:sz w:val="24"/>
              </w:rPr>
              <w:t>产品到厂验收合格后12个月。</w:t>
            </w:r>
          </w:p>
        </w:tc>
      </w:tr>
      <w:tr>
        <w:tblPrEx>
          <w:tblLayout w:type="fixed"/>
          <w:tblCellMar>
            <w:top w:w="0" w:type="dxa"/>
            <w:left w:w="10" w:type="dxa"/>
            <w:bottom w:w="0" w:type="dxa"/>
            <w:right w:w="10" w:type="dxa"/>
          </w:tblCellMar>
        </w:tblPrEx>
        <w:trPr>
          <w:trHeight w:val="433"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3</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 w:val="24"/>
              </w:rPr>
            </w:pPr>
            <w:r>
              <w:rPr>
                <w:rFonts w:hint="eastAsia" w:ascii="宋体" w:hAnsi="宋体" w:cs="宋体"/>
                <w:sz w:val="24"/>
              </w:rPr>
              <w:t>履约保证金金额：不适用</w:t>
            </w:r>
          </w:p>
        </w:tc>
      </w:tr>
      <w:tr>
        <w:tblPrEx>
          <w:tblLayout w:type="fixed"/>
          <w:tblCellMar>
            <w:top w:w="0" w:type="dxa"/>
            <w:left w:w="10" w:type="dxa"/>
            <w:bottom w:w="0" w:type="dxa"/>
            <w:right w:w="10" w:type="dxa"/>
          </w:tblCellMar>
        </w:tblPrEx>
        <w:trPr>
          <w:trHeight w:val="90"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4</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strike/>
                <w:sz w:val="24"/>
                <w:lang w:val="en-US"/>
              </w:rPr>
            </w:pPr>
            <w:r>
              <w:rPr>
                <w:rFonts w:hint="eastAsia" w:ascii="宋体" w:hAnsi="宋体" w:cs="宋体"/>
                <w:b/>
                <w:sz w:val="24"/>
              </w:rPr>
              <w:t>1、交货时间：</w:t>
            </w:r>
            <w:r>
              <w:rPr>
                <w:rFonts w:hint="eastAsia" w:ascii="宋体" w:hAnsi="宋体" w:cs="宋体"/>
                <w:b/>
                <w:sz w:val="24"/>
                <w:lang w:val="en-US" w:eastAsia="zh-CN"/>
              </w:rPr>
              <w:t>合同签订后210日历日设备到甲方工厂</w:t>
            </w:r>
          </w:p>
          <w:p>
            <w:pPr>
              <w:spacing w:line="460" w:lineRule="atLeast"/>
              <w:rPr>
                <w:rFonts w:ascii="宋体" w:hAnsi="宋体" w:cs="宋体"/>
                <w:color w:val="E36C0A"/>
                <w:sz w:val="24"/>
              </w:rPr>
            </w:pPr>
            <w:r>
              <w:rPr>
                <w:rFonts w:hint="eastAsia" w:ascii="宋体" w:hAnsi="宋体" w:cs="宋体"/>
                <w:sz w:val="24"/>
              </w:rPr>
              <w:t>2、交货方式：本次中标金额为卖方负责将货物运抵安装现场，负责</w:t>
            </w:r>
            <w:r>
              <w:rPr>
                <w:rFonts w:hint="eastAsia" w:ascii="宋体" w:hAnsi="宋体" w:cs="宋体"/>
                <w:sz w:val="24"/>
                <w:lang w:eastAsia="zh-CN"/>
              </w:rPr>
              <w:t>装卸、</w:t>
            </w:r>
            <w:r>
              <w:rPr>
                <w:rFonts w:hint="eastAsia" w:ascii="宋体" w:hAnsi="宋体" w:cs="宋体"/>
                <w:sz w:val="24"/>
              </w:rPr>
              <w:t>安装、调试，直至验收合格。</w:t>
            </w:r>
          </w:p>
        </w:tc>
      </w:tr>
    </w:tbl>
    <w:p>
      <w:pPr>
        <w:spacing w:line="460" w:lineRule="exact"/>
        <w:ind w:left="420"/>
        <w:jc w:val="left"/>
        <w:rPr>
          <w:sz w:val="24"/>
        </w:rPr>
      </w:pPr>
    </w:p>
    <w:p>
      <w:pPr>
        <w:widowControl/>
        <w:jc w:val="left"/>
        <w:rPr>
          <w:sz w:val="28"/>
          <w:szCs w:val="28"/>
        </w:rPr>
      </w:pPr>
    </w:p>
    <w:p>
      <w:pPr>
        <w:widowControl/>
        <w:jc w:val="left"/>
        <w:rPr>
          <w:sz w:val="28"/>
          <w:szCs w:val="28"/>
        </w:rPr>
      </w:pPr>
    </w:p>
    <w:p>
      <w:pPr>
        <w:widowControl/>
        <w:jc w:val="left"/>
        <w:rPr>
          <w:sz w:val="28"/>
          <w:szCs w:val="28"/>
        </w:rPr>
      </w:pPr>
    </w:p>
    <w:p>
      <w:pPr>
        <w:widowControl/>
        <w:jc w:val="left"/>
        <w:rPr>
          <w:sz w:val="28"/>
          <w:szCs w:val="28"/>
        </w:rPr>
      </w:pPr>
      <w:r>
        <w:br w:type="page"/>
      </w:r>
    </w:p>
    <w:p>
      <w:pPr>
        <w:pStyle w:val="63"/>
        <w:spacing w:line="460" w:lineRule="exact"/>
        <w:ind w:right="-74" w:firstLine="0"/>
        <w:jc w:val="center"/>
        <w:rPr>
          <w:sz w:val="28"/>
          <w:szCs w:val="28"/>
        </w:rPr>
      </w:pPr>
      <w:bookmarkStart w:id="79" w:name="_Toc42003712"/>
      <w:bookmarkEnd w:id="79"/>
      <w:r>
        <w:rPr>
          <w:rFonts w:hint="eastAsia"/>
          <w:sz w:val="28"/>
          <w:szCs w:val="28"/>
        </w:rPr>
        <w:t>二、合同格式</w:t>
      </w:r>
    </w:p>
    <w:p>
      <w:pPr>
        <w:rPr>
          <w:rFonts w:ascii="Courier" w:hAnsi="Courier" w:cs="Courier"/>
          <w:szCs w:val="21"/>
        </w:rPr>
      </w:pPr>
    </w:p>
    <w:p>
      <w:pPr>
        <w:spacing w:before="156" w:beforeLines="50" w:after="156" w:afterLines="50" w:line="360" w:lineRule="auto"/>
        <w:jc w:val="center"/>
        <w:rPr>
          <w:rFonts w:ascii="Arial" w:hAnsi="Arial" w:cs="Arial"/>
          <w:b/>
          <w:bCs/>
          <w:sz w:val="36"/>
          <w:szCs w:val="36"/>
        </w:rPr>
      </w:pPr>
      <w:r>
        <w:rPr>
          <w:rFonts w:ascii="Arial" w:hAnsi="Arial" w:cs="Arial"/>
          <w:b/>
          <w:bCs/>
          <w:sz w:val="36"/>
          <w:szCs w:val="36"/>
        </w:rPr>
        <w:t>设备采购合同</w:t>
      </w:r>
    </w:p>
    <w:p>
      <w:pPr>
        <w:tabs>
          <w:tab w:val="left" w:pos="7896"/>
        </w:tabs>
        <w:spacing w:line="360" w:lineRule="auto"/>
        <w:rPr>
          <w:rFonts w:hint="eastAsia" w:ascii="Arial" w:hAnsi="Arial" w:cs="Arial"/>
        </w:rPr>
      </w:pPr>
      <w:r>
        <w:rPr>
          <w:rFonts w:ascii="Arial" w:hAnsi="Arial" w:cs="Arial"/>
        </w:rPr>
        <w:t xml:space="preserve">甲方（需方）广州电缆厂有限公司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合同编</w:t>
      </w:r>
      <w:r>
        <w:rPr>
          <w:rFonts w:hint="eastAsia" w:ascii="Arial" w:hAnsi="Arial" w:cs="Arial"/>
        </w:rPr>
        <w:t>号</w:t>
      </w:r>
      <w:r>
        <w:rPr>
          <w:rFonts w:ascii="Arial" w:hAnsi="Arial" w:cs="Arial"/>
        </w:rPr>
        <w:t>：</w:t>
      </w:r>
      <w:r>
        <w:rPr>
          <w:rFonts w:hint="eastAsia" w:ascii="Arial" w:hAnsi="Arial" w:cs="Arial"/>
          <w:lang w:val="en-US" w:eastAsia="zh-CN"/>
        </w:rPr>
        <w:t>S+乙方简称+签订年月日</w:t>
      </w:r>
      <w:r>
        <w:rPr>
          <w:rFonts w:ascii="Arial" w:hAnsi="Arial" w:cs="Arial"/>
        </w:rPr>
        <w:tab/>
      </w:r>
    </w:p>
    <w:p>
      <w:pPr>
        <w:spacing w:line="360" w:lineRule="auto"/>
        <w:rPr>
          <w:rFonts w:ascii="Arial" w:hAnsi="Arial" w:cs="Arial"/>
        </w:rPr>
      </w:pPr>
      <w:r>
        <w:rPr>
          <w:rFonts w:ascii="Arial" w:hAnsi="Arial" w:cs="Arial"/>
        </w:rPr>
        <w:t>乙方（供方）</w:t>
      </w:r>
      <w:r>
        <w:rPr>
          <w:rFonts w:hint="eastAsia" w:ascii="Arial" w:hAnsi="Arial" w:cs="Arial"/>
          <w:color w:val="333333"/>
          <w:u w:val="single"/>
          <w:shd w:val="clear" w:color="auto" w:fill="FFFFFF"/>
          <w:lang w:val="en-US" w:eastAsia="zh-CN"/>
        </w:rPr>
        <w:t xml:space="preserve">                    </w:t>
      </w:r>
      <w:r>
        <w:rPr>
          <w:rFonts w:hint="eastAsia" w:ascii="Arial" w:hAnsi="Arial" w:cs="Arial"/>
          <w:lang w:val="en-US" w:eastAsia="zh-CN"/>
        </w:rPr>
        <w:t xml:space="preserve">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签定地点：广州市南沙区</w:t>
      </w:r>
    </w:p>
    <w:p>
      <w:pPr>
        <w:spacing w:line="360" w:lineRule="auto"/>
        <w:rPr>
          <w:rFonts w:ascii="Arial" w:hAnsi="Arial" w:cs="Arial"/>
        </w:rPr>
      </w:pPr>
      <w:r>
        <w:rPr>
          <w:rFonts w:hint="eastAsia" w:ascii="Arial" w:hAnsi="Arial" w:cs="Arial"/>
        </w:rPr>
        <w:t>甲、乙双方就以下采购内容，达成如下协议：</w:t>
      </w:r>
    </w:p>
    <w:p>
      <w:pPr>
        <w:spacing w:line="360" w:lineRule="auto"/>
        <w:rPr>
          <w:rFonts w:ascii="Arial" w:hAnsi="Arial" w:cs="Arial"/>
        </w:rPr>
      </w:pPr>
      <w:r>
        <w:rPr>
          <w:rFonts w:ascii="Arial" w:hAnsi="Arial" w:cs="Arial"/>
          <w:b/>
          <w:bCs/>
        </w:rPr>
        <w:t>一、合同设备或项目名称、规格型号、数量、单价、金额、交货期限</w:t>
      </w:r>
    </w:p>
    <w:tbl>
      <w:tblPr>
        <w:tblStyle w:val="42"/>
        <w:tblW w:w="9712" w:type="dxa"/>
        <w:jc w:val="center"/>
        <w:tblInd w:w="4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1225"/>
        <w:gridCol w:w="1276"/>
        <w:gridCol w:w="850"/>
        <w:gridCol w:w="1565"/>
        <w:gridCol w:w="1701"/>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2187" w:type="dxa"/>
            <w:tcBorders>
              <w:left w:val="single" w:color="auto" w:sz="4" w:space="0"/>
            </w:tcBorders>
            <w:vAlign w:val="center"/>
          </w:tcPr>
          <w:p>
            <w:pPr>
              <w:spacing w:line="400" w:lineRule="exact"/>
              <w:jc w:val="center"/>
              <w:rPr>
                <w:rFonts w:ascii="Arial" w:hAnsi="Arial" w:cs="Arial"/>
              </w:rPr>
            </w:pPr>
            <w:r>
              <w:rPr>
                <w:rFonts w:ascii="Arial" w:hAnsi="Arial" w:cs="Arial"/>
              </w:rPr>
              <w:t>名称</w:t>
            </w:r>
          </w:p>
        </w:tc>
        <w:tc>
          <w:tcPr>
            <w:tcW w:w="1225" w:type="dxa"/>
            <w:vAlign w:val="center"/>
          </w:tcPr>
          <w:p>
            <w:pPr>
              <w:spacing w:line="400" w:lineRule="exact"/>
              <w:jc w:val="center"/>
              <w:rPr>
                <w:rFonts w:ascii="Arial" w:hAnsi="Arial" w:cs="Arial"/>
              </w:rPr>
            </w:pPr>
            <w:r>
              <w:rPr>
                <w:rFonts w:ascii="Arial" w:hAnsi="Arial" w:cs="Arial"/>
              </w:rPr>
              <w:t>规格型号</w:t>
            </w:r>
          </w:p>
        </w:tc>
        <w:tc>
          <w:tcPr>
            <w:tcW w:w="1276" w:type="dxa"/>
            <w:vAlign w:val="center"/>
          </w:tcPr>
          <w:p>
            <w:pPr>
              <w:spacing w:line="400" w:lineRule="exact"/>
              <w:jc w:val="center"/>
              <w:rPr>
                <w:rFonts w:ascii="Arial" w:hAnsi="Arial" w:cs="Arial"/>
              </w:rPr>
            </w:pPr>
            <w:r>
              <w:rPr>
                <w:rFonts w:ascii="Arial" w:hAnsi="Arial" w:cs="Arial"/>
              </w:rPr>
              <w:t>计量单位</w:t>
            </w:r>
          </w:p>
        </w:tc>
        <w:tc>
          <w:tcPr>
            <w:tcW w:w="850" w:type="dxa"/>
            <w:vAlign w:val="center"/>
          </w:tcPr>
          <w:p>
            <w:pPr>
              <w:spacing w:line="400" w:lineRule="exact"/>
              <w:jc w:val="center"/>
              <w:rPr>
                <w:rFonts w:ascii="Arial" w:hAnsi="Arial" w:cs="Arial"/>
              </w:rPr>
            </w:pPr>
            <w:r>
              <w:rPr>
                <w:rFonts w:ascii="Arial" w:hAnsi="Arial" w:cs="Arial"/>
              </w:rPr>
              <w:t>数量</w:t>
            </w:r>
          </w:p>
        </w:tc>
        <w:tc>
          <w:tcPr>
            <w:tcW w:w="1565" w:type="dxa"/>
            <w:tcBorders>
              <w:bottom w:val="single" w:color="auto" w:sz="4" w:space="0"/>
            </w:tcBorders>
            <w:vAlign w:val="center"/>
          </w:tcPr>
          <w:p>
            <w:pPr>
              <w:spacing w:line="400" w:lineRule="exact"/>
              <w:jc w:val="center"/>
              <w:rPr>
                <w:rFonts w:ascii="Arial" w:hAnsi="Arial" w:cs="Arial"/>
              </w:rPr>
            </w:pPr>
            <w:r>
              <w:rPr>
                <w:rFonts w:ascii="Arial" w:hAnsi="Arial" w:cs="Arial"/>
              </w:rPr>
              <w:t>单价（元）</w:t>
            </w:r>
          </w:p>
        </w:tc>
        <w:tc>
          <w:tcPr>
            <w:tcW w:w="1701" w:type="dxa"/>
            <w:tcBorders>
              <w:bottom w:val="single" w:color="auto" w:sz="4" w:space="0"/>
            </w:tcBorders>
            <w:vAlign w:val="center"/>
          </w:tcPr>
          <w:p>
            <w:pPr>
              <w:spacing w:line="400" w:lineRule="exact"/>
              <w:jc w:val="center"/>
              <w:rPr>
                <w:rFonts w:ascii="Arial" w:hAnsi="Arial" w:cs="Arial"/>
              </w:rPr>
            </w:pPr>
            <w:r>
              <w:rPr>
                <w:rFonts w:ascii="Arial" w:hAnsi="Arial" w:cs="Arial"/>
              </w:rPr>
              <w:t>总金额（元）</w:t>
            </w:r>
          </w:p>
        </w:tc>
        <w:tc>
          <w:tcPr>
            <w:tcW w:w="908" w:type="dxa"/>
            <w:tcBorders>
              <w:bottom w:val="single" w:color="auto" w:sz="4" w:space="0"/>
            </w:tcBorders>
            <w:vAlign w:val="top"/>
          </w:tcPr>
          <w:p>
            <w:pPr>
              <w:spacing w:line="400" w:lineRule="exact"/>
              <w:jc w:val="center"/>
              <w:rPr>
                <w:rFonts w:ascii="Arial" w:hAnsi="Arial" w:cs="Arial"/>
              </w:rPr>
            </w:pPr>
            <w:r>
              <w:rPr>
                <w:rFonts w:hint="eastAsia" w:ascii="Arial" w:hAnsi="Arial"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ascii="Arial" w:hAnsi="Arial" w:cs="Arial"/>
              </w:rPr>
            </w:pPr>
          </w:p>
        </w:tc>
        <w:tc>
          <w:tcPr>
            <w:tcW w:w="1225" w:type="dxa"/>
            <w:vAlign w:val="center"/>
          </w:tcPr>
          <w:p>
            <w:pPr>
              <w:spacing w:line="400" w:lineRule="exact"/>
              <w:jc w:val="center"/>
              <w:rPr>
                <w:rFonts w:ascii="Arial" w:hAnsi="Arial" w:cs="Arial"/>
              </w:rPr>
            </w:pPr>
          </w:p>
        </w:tc>
        <w:tc>
          <w:tcPr>
            <w:tcW w:w="1276" w:type="dxa"/>
            <w:vAlign w:val="center"/>
          </w:tcPr>
          <w:p>
            <w:pPr>
              <w:spacing w:line="400" w:lineRule="exact"/>
              <w:jc w:val="center"/>
              <w:rPr>
                <w:rFonts w:ascii="Arial" w:hAnsi="Arial" w:cs="Arial"/>
              </w:rPr>
            </w:pPr>
          </w:p>
        </w:tc>
        <w:tc>
          <w:tcPr>
            <w:tcW w:w="850" w:type="dxa"/>
            <w:vAlign w:val="center"/>
          </w:tcPr>
          <w:p>
            <w:pPr>
              <w:spacing w:line="400" w:lineRule="exact"/>
              <w:jc w:val="center"/>
              <w:rPr>
                <w:rFonts w:ascii="Arial" w:hAnsi="Arial" w:cs="Arial"/>
              </w:rPr>
            </w:pPr>
          </w:p>
        </w:tc>
        <w:tc>
          <w:tcPr>
            <w:tcW w:w="1565" w:type="dxa"/>
            <w:vAlign w:val="center"/>
          </w:tcPr>
          <w:p>
            <w:pPr>
              <w:spacing w:line="400" w:lineRule="exact"/>
              <w:jc w:val="center"/>
              <w:rPr>
                <w:rFonts w:ascii="Arial" w:hAnsi="Arial" w:cs="Arial"/>
              </w:rPr>
            </w:pPr>
          </w:p>
        </w:tc>
        <w:tc>
          <w:tcPr>
            <w:tcW w:w="1701" w:type="dxa"/>
            <w:vAlign w:val="center"/>
          </w:tcPr>
          <w:p>
            <w:pPr>
              <w:spacing w:line="400" w:lineRule="exact"/>
              <w:jc w:val="center"/>
              <w:rPr>
                <w:rFonts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hint="eastAsia" w:ascii="宋体" w:hAnsi="宋体" w:cs="Arial"/>
                <w:b/>
                <w:sz w:val="24"/>
              </w:rPr>
            </w:pPr>
          </w:p>
        </w:tc>
        <w:tc>
          <w:tcPr>
            <w:tcW w:w="1225" w:type="dxa"/>
            <w:vAlign w:val="center"/>
          </w:tcPr>
          <w:p>
            <w:pPr>
              <w:spacing w:line="400" w:lineRule="exact"/>
              <w:jc w:val="center"/>
              <w:rPr>
                <w:rFonts w:hint="eastAsia" w:ascii="宋体" w:hAnsi="宋体" w:cs="Arial"/>
                <w:b/>
                <w:sz w:val="24"/>
              </w:rPr>
            </w:pPr>
          </w:p>
        </w:tc>
        <w:tc>
          <w:tcPr>
            <w:tcW w:w="1276" w:type="dxa"/>
            <w:vAlign w:val="center"/>
          </w:tcPr>
          <w:p>
            <w:pPr>
              <w:spacing w:line="400" w:lineRule="exact"/>
              <w:jc w:val="center"/>
              <w:rPr>
                <w:rFonts w:hint="eastAsia" w:ascii="Arial" w:hAnsi="Arial" w:cs="Arial"/>
              </w:rPr>
            </w:pPr>
          </w:p>
        </w:tc>
        <w:tc>
          <w:tcPr>
            <w:tcW w:w="850" w:type="dxa"/>
            <w:vAlign w:val="center"/>
          </w:tcPr>
          <w:p>
            <w:pPr>
              <w:spacing w:line="400" w:lineRule="exact"/>
              <w:jc w:val="center"/>
              <w:rPr>
                <w:rFonts w:hint="eastAsia" w:ascii="Arial" w:hAnsi="Arial" w:cs="Arial"/>
              </w:rPr>
            </w:pPr>
          </w:p>
        </w:tc>
        <w:tc>
          <w:tcPr>
            <w:tcW w:w="1565" w:type="dxa"/>
            <w:vAlign w:val="center"/>
          </w:tcPr>
          <w:p>
            <w:pPr>
              <w:spacing w:line="400" w:lineRule="exact"/>
              <w:jc w:val="center"/>
              <w:rPr>
                <w:rFonts w:hint="eastAsia" w:ascii="Arial" w:hAnsi="Arial" w:cs="Arial"/>
              </w:rPr>
            </w:pPr>
          </w:p>
        </w:tc>
        <w:tc>
          <w:tcPr>
            <w:tcW w:w="1701" w:type="dxa"/>
            <w:vAlign w:val="center"/>
          </w:tcPr>
          <w:p>
            <w:pPr>
              <w:spacing w:line="400" w:lineRule="exact"/>
              <w:jc w:val="center"/>
              <w:rPr>
                <w:rFonts w:hint="eastAsia"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9712" w:type="dxa"/>
            <w:gridSpan w:val="7"/>
            <w:vAlign w:val="center"/>
          </w:tcPr>
          <w:p>
            <w:pPr>
              <w:spacing w:line="400" w:lineRule="exact"/>
              <w:rPr>
                <w:rFonts w:ascii="Arial" w:hAnsi="Arial" w:cs="Arial"/>
              </w:rPr>
            </w:pPr>
            <w:r>
              <w:rPr>
                <w:rFonts w:ascii="Arial" w:hAnsi="Arial" w:cs="Arial"/>
              </w:rPr>
              <w:t>合同总价：</w:t>
            </w:r>
            <w:r>
              <w:rPr>
                <w:rFonts w:ascii="Arial" w:hAnsi="Arial" w:cs="Arial"/>
                <w:color w:val="333333"/>
                <w:u w:val="single"/>
                <w:shd w:val="clear" w:color="auto" w:fill="FFFFFF"/>
              </w:rPr>
              <w:t>￥</w:t>
            </w:r>
            <w:r>
              <w:rPr>
                <w:rFonts w:hint="eastAsia" w:ascii="Arial" w:hAnsi="Arial" w:cs="Arial"/>
                <w:color w:val="333333"/>
                <w:u w:val="single"/>
                <w:shd w:val="clear" w:color="auto" w:fill="FFFFFF"/>
                <w:lang w:val="en-US" w:eastAsia="zh-CN"/>
              </w:rPr>
              <w:t xml:space="preserve">      </w:t>
            </w:r>
            <w:r>
              <w:rPr>
                <w:rFonts w:ascii="Arial" w:hAnsi="Arial" w:cs="Arial"/>
                <w:color w:val="333333"/>
                <w:shd w:val="clear" w:color="auto" w:fill="FFFFFF"/>
              </w:rPr>
              <w:t>人民</w:t>
            </w:r>
            <w:r>
              <w:rPr>
                <w:rFonts w:ascii="Arial" w:hAnsi="Arial" w:cs="Arial"/>
              </w:rPr>
              <w:t>币（大写）：</w:t>
            </w:r>
            <w:r>
              <w:rPr>
                <w:rFonts w:hint="eastAsia" w:ascii="Arial" w:hAnsi="Arial" w:cs="Arial"/>
                <w:color w:val="333333"/>
                <w:u w:val="single"/>
                <w:shd w:val="clear" w:color="auto" w:fill="FFFFFF"/>
                <w:lang w:val="en-US" w:eastAsia="zh-CN"/>
              </w:rPr>
              <w:t xml:space="preserve">          </w:t>
            </w:r>
            <w:r>
              <w:rPr>
                <w:rFonts w:hint="eastAsia" w:ascii="Arial" w:hAnsi="Arial" w:cs="Arial"/>
              </w:rPr>
              <w:t>元整；</w:t>
            </w:r>
            <w:r>
              <w:rPr>
                <w:rFonts w:ascii="Arial" w:hAnsi="Arial" w:cs="Arial"/>
              </w:rPr>
              <w:t>（含13%增值税）</w:t>
            </w:r>
          </w:p>
          <w:p>
            <w:pPr>
              <w:spacing w:line="400" w:lineRule="exact"/>
              <w:rPr>
                <w:rFonts w:ascii="Arial" w:hAnsi="Arial" w:cs="Arial"/>
              </w:rPr>
            </w:pPr>
            <w:r>
              <w:rPr>
                <w:rFonts w:ascii="Arial" w:hAnsi="Arial" w:cs="Arial"/>
              </w:rPr>
              <w:t>上述合同总价包含运费、</w:t>
            </w:r>
            <w:r>
              <w:rPr>
                <w:rFonts w:hint="eastAsia" w:ascii="Arial" w:hAnsi="Arial" w:cs="Arial"/>
              </w:rPr>
              <w:t>装卸费、</w:t>
            </w:r>
            <w:r>
              <w:rPr>
                <w:rFonts w:ascii="Arial" w:hAnsi="Arial" w:cs="Arial"/>
              </w:rPr>
              <w:t>安装费（人工）、培训费及质保期内的售后服务费用</w:t>
            </w:r>
          </w:p>
        </w:tc>
      </w:tr>
    </w:tbl>
    <w:p>
      <w:pPr>
        <w:spacing w:before="156" w:beforeLines="50" w:line="360" w:lineRule="auto"/>
        <w:rPr>
          <w:rFonts w:ascii="Arial" w:hAnsi="Arial" w:cs="Arial"/>
          <w:b/>
          <w:bCs/>
        </w:rPr>
      </w:pPr>
      <w:r>
        <w:rPr>
          <w:rFonts w:ascii="Arial" w:hAnsi="Arial" w:cs="Arial"/>
          <w:b/>
          <w:bCs/>
        </w:rPr>
        <w:t>二、质量要求、技术标准</w:t>
      </w:r>
    </w:p>
    <w:p>
      <w:pPr>
        <w:spacing w:before="156" w:beforeLines="50" w:line="360" w:lineRule="auto"/>
        <w:rPr>
          <w:rFonts w:ascii="Arial" w:hAnsi="Arial" w:cs="Arial"/>
          <w:b/>
          <w:bCs/>
        </w:rPr>
      </w:pPr>
      <w:r>
        <w:rPr>
          <w:rFonts w:ascii="Arial" w:hAnsi="Arial" w:cs="Arial"/>
        </w:rPr>
        <w:t>乙方所制造的上述合同设备应符合双方已经</w:t>
      </w:r>
      <w:r>
        <w:rPr>
          <w:rFonts w:hint="eastAsia" w:ascii="Arial" w:hAnsi="Arial" w:cs="Arial"/>
        </w:rPr>
        <w:t>签订</w:t>
      </w:r>
      <w:r>
        <w:rPr>
          <w:rFonts w:ascii="Arial" w:hAnsi="Arial" w:cs="Arial"/>
        </w:rPr>
        <w:t>的本合同附件</w:t>
      </w:r>
      <w:r>
        <w:rPr>
          <w:rFonts w:hint="eastAsia" w:ascii="Arial" w:hAnsi="Arial" w:cs="Arial"/>
        </w:rPr>
        <w:t>一</w:t>
      </w:r>
      <w:r>
        <w:rPr>
          <w:rFonts w:ascii="Arial" w:hAnsi="Arial" w:cs="Arial"/>
        </w:rPr>
        <w:t>之</w:t>
      </w:r>
      <w:r>
        <w:rPr>
          <w:rFonts w:hint="eastAsia" w:ascii="Arial" w:hAnsi="Arial" w:cs="Arial"/>
        </w:rPr>
        <w:t>技术协议</w:t>
      </w:r>
      <w:r>
        <w:rPr>
          <w:rFonts w:ascii="Arial" w:hAnsi="Arial" w:cs="Arial"/>
        </w:rPr>
        <w:t>。</w:t>
      </w:r>
    </w:p>
    <w:p>
      <w:pPr>
        <w:spacing w:before="156" w:beforeLines="50" w:line="360" w:lineRule="auto"/>
        <w:rPr>
          <w:rFonts w:ascii="Arial" w:hAnsi="Arial" w:cs="Arial"/>
          <w:b/>
          <w:bCs/>
        </w:rPr>
      </w:pPr>
      <w:r>
        <w:rPr>
          <w:rFonts w:ascii="Arial" w:hAnsi="Arial" w:cs="Arial"/>
          <w:b/>
          <w:bCs/>
        </w:rPr>
        <w:t>三、技术资料、图纸提供办法及保密要求</w:t>
      </w:r>
    </w:p>
    <w:p>
      <w:pPr>
        <w:spacing w:line="360" w:lineRule="auto"/>
        <w:rPr>
          <w:rFonts w:ascii="Arial" w:hAnsi="Arial" w:cs="Arial"/>
        </w:rPr>
      </w:pPr>
      <w:r>
        <w:rPr>
          <w:rFonts w:ascii="Arial" w:hAnsi="Arial" w:cs="Arial"/>
        </w:rPr>
        <w:t>乙方在合同生效30天内，应针对每台合同设备向甲方提供一套完整的安装、调试、维保等技术资料，如果甲方确认乙方提供的技术资料不完整或在运输过程中丢失，乙方应在收到甲方通知后3天内将相关资料重新补齐提供至甲方，否则视为合同设备交货不完整；未经甲方同意，乙方对甲方需要购置的及本合同涉及的全部技术资料不得以任何方式于任何时间向合同第三方披露，否则甲方有权就其一切相关损失向乙方进行追索。</w:t>
      </w:r>
    </w:p>
    <w:p>
      <w:pPr>
        <w:spacing w:before="156" w:beforeLines="50" w:line="360" w:lineRule="auto"/>
        <w:rPr>
          <w:rFonts w:ascii="Arial" w:hAnsi="Arial" w:cs="Arial"/>
          <w:b/>
          <w:bCs/>
        </w:rPr>
      </w:pPr>
      <w:r>
        <w:rPr>
          <w:rFonts w:ascii="Arial" w:hAnsi="Arial" w:cs="Arial"/>
          <w:b/>
          <w:bCs/>
        </w:rPr>
        <w:t>四、交货时间及地点</w:t>
      </w:r>
    </w:p>
    <w:p>
      <w:pPr>
        <w:spacing w:line="360" w:lineRule="auto"/>
        <w:rPr>
          <w:rFonts w:ascii="Arial" w:hAnsi="Arial" w:cs="Arial"/>
        </w:rPr>
      </w:pPr>
      <w:r>
        <w:rPr>
          <w:rFonts w:hint="eastAsia" w:ascii="Arial" w:hAnsi="Arial" w:cs="Arial"/>
          <w:b/>
          <w:bCs/>
        </w:rPr>
        <w:t>自乙方收到甲方预付款之日起</w:t>
      </w:r>
      <w:r>
        <w:rPr>
          <w:rFonts w:hint="eastAsia" w:ascii="Arial" w:hAnsi="Arial" w:cs="Arial"/>
          <w:b/>
          <w:bCs/>
          <w:highlight w:val="none"/>
          <w:u w:val="single"/>
          <w:lang w:val="en-US" w:eastAsia="zh-CN"/>
        </w:rPr>
        <w:t xml:space="preserve">  210 </w:t>
      </w:r>
      <w:r>
        <w:rPr>
          <w:rFonts w:hint="eastAsia" w:ascii="Arial" w:hAnsi="Arial" w:cs="Arial"/>
          <w:b/>
          <w:bCs/>
          <w:highlight w:val="none"/>
        </w:rPr>
        <w:t>天</w:t>
      </w:r>
      <w:r>
        <w:rPr>
          <w:rFonts w:hint="eastAsia" w:ascii="Arial" w:hAnsi="Arial" w:cs="Arial"/>
          <w:b/>
          <w:bCs/>
        </w:rPr>
        <w:t>内，</w:t>
      </w:r>
      <w:r>
        <w:rPr>
          <w:rFonts w:ascii="Arial" w:hAnsi="Arial" w:cs="Arial"/>
        </w:rPr>
        <w:t>乙方应将合同设备运抵广州市南沙区榄核镇榄张路51号甲方厂房并向甲方交付全部合同设备。乙方应在交货的同时向甲方提供合同总价金额全额增值税发票（税率13%），否则视为合同设备交货不完整，依照乙方逾期交货处理。</w:t>
      </w:r>
    </w:p>
    <w:p>
      <w:pPr>
        <w:spacing w:before="156" w:beforeLines="50" w:line="360" w:lineRule="auto"/>
        <w:rPr>
          <w:rFonts w:ascii="Arial" w:hAnsi="Arial" w:cs="Arial"/>
          <w:b/>
          <w:bCs/>
        </w:rPr>
      </w:pPr>
      <w:r>
        <w:rPr>
          <w:rFonts w:ascii="Arial" w:hAnsi="Arial" w:cs="Arial"/>
          <w:b/>
          <w:bCs/>
        </w:rPr>
        <w:t>五、运输及费用负担</w:t>
      </w:r>
    </w:p>
    <w:p>
      <w:pPr>
        <w:spacing w:before="156" w:beforeLines="50" w:line="360" w:lineRule="auto"/>
        <w:rPr>
          <w:rFonts w:hint="eastAsia" w:ascii="Arial" w:hAnsi="Arial" w:cs="Arial"/>
          <w:b/>
          <w:bCs/>
        </w:rPr>
      </w:pPr>
      <w:r>
        <w:rPr>
          <w:rFonts w:ascii="Arial" w:hAnsi="Arial" w:cs="Arial"/>
        </w:rPr>
        <w:t>合同设备的包装应符合国家和行业对相关设备的包装要求。合同设备的运输方式为汽车运输。乙方应为产品投保或者对产品经甲方卸货前的风险承担全部责任。产品经甲方卸货前的所有毁损、灭失等风险均由乙方承担。本合同所涉合同设备、资料等相关全部运输费用、保险费用及运输风险由乙方承担。</w:t>
      </w:r>
    </w:p>
    <w:p>
      <w:pPr>
        <w:spacing w:before="156" w:beforeLines="50" w:line="360" w:lineRule="auto"/>
        <w:rPr>
          <w:rFonts w:ascii="Arial" w:hAnsi="Arial" w:cs="Arial"/>
          <w:b/>
          <w:bCs/>
        </w:rPr>
      </w:pPr>
      <w:r>
        <w:rPr>
          <w:rFonts w:ascii="Arial" w:hAnsi="Arial" w:cs="Arial"/>
          <w:b/>
          <w:bCs/>
        </w:rPr>
        <w:t>六、合同款支付方式及时间</w:t>
      </w:r>
    </w:p>
    <w:p>
      <w:pPr>
        <w:spacing w:line="360" w:lineRule="auto"/>
        <w:ind w:firstLine="480"/>
        <w:rPr>
          <w:rFonts w:ascii="Arial" w:hAnsi="Arial" w:cs="Arial"/>
        </w:rPr>
      </w:pPr>
      <w:r>
        <w:rPr>
          <w:rFonts w:ascii="Arial" w:hAnsi="Arial" w:cs="Arial"/>
          <w:b/>
          <w:bCs/>
        </w:rPr>
        <w:t>1、预付款</w:t>
      </w:r>
    </w:p>
    <w:p>
      <w:pPr>
        <w:spacing w:line="360" w:lineRule="auto"/>
        <w:ind w:left="420" w:leftChars="200"/>
        <w:rPr>
          <w:rFonts w:ascii="Arial" w:hAnsi="Arial" w:cs="Arial"/>
        </w:rPr>
      </w:pPr>
      <w:r>
        <w:rPr>
          <w:rFonts w:ascii="Arial" w:hAnsi="Arial" w:cs="Arial"/>
        </w:rPr>
        <w:t>合同经甲、乙双方代表签字盖章后生效，甲方随即向乙方</w:t>
      </w:r>
      <w:r>
        <w:rPr>
          <w:rFonts w:hint="eastAsia" w:ascii="Arial" w:hAnsi="Arial" w:cs="Arial"/>
        </w:rPr>
        <w:t>以银行账户转账形式</w:t>
      </w:r>
      <w:r>
        <w:rPr>
          <w:rFonts w:ascii="Arial" w:hAnsi="Arial" w:cs="Arial"/>
        </w:rPr>
        <w:t>支付合同总额的</w:t>
      </w:r>
      <w:r>
        <w:rPr>
          <w:rFonts w:hint="eastAsia" w:ascii="Arial" w:hAnsi="Arial" w:cs="Arial"/>
        </w:rPr>
        <w:t>3</w:t>
      </w:r>
      <w:r>
        <w:rPr>
          <w:rFonts w:ascii="Arial" w:hAnsi="Arial" w:cs="Arial"/>
        </w:rPr>
        <w:t>0%即人民币</w:t>
      </w:r>
      <w:r>
        <w:rPr>
          <w:rFonts w:hint="eastAsia" w:ascii="Arial" w:hAnsi="Arial" w:cs="Arial"/>
        </w:rPr>
        <w:t>：</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作为预付款；</w:t>
      </w:r>
    </w:p>
    <w:p>
      <w:pPr>
        <w:spacing w:line="360" w:lineRule="auto"/>
        <w:ind w:firstLine="465"/>
        <w:rPr>
          <w:rFonts w:ascii="Arial" w:hAnsi="Arial" w:cs="Arial"/>
          <w:b/>
          <w:bCs/>
        </w:rPr>
      </w:pPr>
      <w:r>
        <w:rPr>
          <w:rFonts w:ascii="Arial" w:hAnsi="Arial" w:cs="Arial"/>
          <w:b/>
          <w:bCs/>
        </w:rPr>
        <w:t>2、</w:t>
      </w:r>
      <w:r>
        <w:rPr>
          <w:rFonts w:hint="eastAsia" w:ascii="Arial" w:hAnsi="Arial" w:cs="Arial"/>
          <w:b/>
          <w:bCs/>
        </w:rPr>
        <w:t>提货款</w:t>
      </w:r>
    </w:p>
    <w:p>
      <w:pPr>
        <w:spacing w:line="360" w:lineRule="auto"/>
        <w:ind w:left="420" w:leftChars="200"/>
        <w:rPr>
          <w:rFonts w:ascii="Arial" w:hAnsi="Arial" w:cs="Arial"/>
          <w:b/>
          <w:bCs/>
        </w:rPr>
      </w:pPr>
      <w:r>
        <w:rPr>
          <w:rFonts w:hint="eastAsia" w:ascii="Arial" w:hAnsi="Arial" w:cs="Arial"/>
          <w:bCs/>
        </w:rPr>
        <w:t>合同</w:t>
      </w:r>
      <w:r>
        <w:rPr>
          <w:rFonts w:ascii="Arial" w:hAnsi="Arial" w:cs="Arial"/>
          <w:bCs/>
        </w:rPr>
        <w:t>设备发货前，甲方</w:t>
      </w:r>
      <w:r>
        <w:rPr>
          <w:rFonts w:hint="eastAsia" w:ascii="Arial" w:hAnsi="Arial" w:cs="Arial"/>
          <w:bCs/>
        </w:rPr>
        <w:t>到</w:t>
      </w:r>
      <w:r>
        <w:rPr>
          <w:rFonts w:ascii="Arial" w:hAnsi="Arial" w:cs="Arial"/>
          <w:bCs/>
        </w:rPr>
        <w:t>乙方工厂初步</w:t>
      </w:r>
      <w:r>
        <w:rPr>
          <w:rFonts w:hint="eastAsia" w:ascii="Arial" w:hAnsi="Arial" w:cs="Arial"/>
          <w:bCs/>
          <w:lang w:eastAsia="zh-CN"/>
        </w:rPr>
        <w:t>外观和设备清单</w:t>
      </w:r>
      <w:r>
        <w:rPr>
          <w:rFonts w:hint="eastAsia" w:ascii="Arial" w:hAnsi="Arial" w:cs="Arial"/>
          <w:bCs/>
        </w:rPr>
        <w:t>验收</w:t>
      </w:r>
      <w:r>
        <w:rPr>
          <w:rFonts w:ascii="Arial" w:hAnsi="Arial" w:cs="Arial"/>
          <w:bCs/>
        </w:rPr>
        <w:t>合格</w:t>
      </w:r>
      <w:r>
        <w:rPr>
          <w:rFonts w:hint="eastAsia" w:ascii="Arial" w:hAnsi="Arial" w:cs="Arial"/>
          <w:bCs/>
        </w:rPr>
        <w:t>后</w:t>
      </w:r>
      <w:r>
        <w:rPr>
          <w:rFonts w:ascii="Arial" w:hAnsi="Arial" w:cs="Arial"/>
          <w:bCs/>
        </w:rPr>
        <w:t>，</w:t>
      </w:r>
      <w:r>
        <w:rPr>
          <w:rFonts w:hint="eastAsia" w:ascii="Arial" w:hAnsi="Arial" w:cs="Arial"/>
          <w:bCs/>
        </w:rPr>
        <w:t>于</w:t>
      </w:r>
      <w:r>
        <w:rPr>
          <w:rFonts w:ascii="Arial" w:hAnsi="Arial" w:cs="Arial"/>
        </w:rPr>
        <w:t>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w:t>
      </w:r>
      <w:r>
        <w:rPr>
          <w:rFonts w:ascii="Arial" w:hAnsi="Arial" w:cs="Arial"/>
        </w:rPr>
        <w:t>0%即人民币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w:t>
      </w:r>
      <w:r>
        <w:rPr>
          <w:rFonts w:hint="eastAsia" w:ascii="Arial" w:hAnsi="Arial" w:cs="Arial"/>
        </w:rPr>
        <w:t>提货</w:t>
      </w:r>
      <w:r>
        <w:rPr>
          <w:rFonts w:ascii="Arial" w:hAnsi="Arial" w:cs="Arial"/>
        </w:rPr>
        <w:t>款</w:t>
      </w:r>
      <w:r>
        <w:rPr>
          <w:rFonts w:hint="eastAsia" w:ascii="Arial" w:hAnsi="Arial" w:cs="Arial"/>
        </w:rPr>
        <w:t>（在这之前，需乙方提供合同设备总金额的合法发票）</w:t>
      </w:r>
      <w:r>
        <w:rPr>
          <w:rFonts w:ascii="Arial" w:hAnsi="Arial" w:cs="Arial"/>
        </w:rPr>
        <w:t>；</w:t>
      </w:r>
    </w:p>
    <w:p>
      <w:pPr>
        <w:spacing w:line="360" w:lineRule="auto"/>
        <w:ind w:firstLine="465"/>
        <w:rPr>
          <w:rFonts w:hint="eastAsia" w:ascii="Arial" w:hAnsi="Arial" w:cs="Arial"/>
          <w:b/>
          <w:bCs/>
        </w:rPr>
      </w:pPr>
      <w:r>
        <w:rPr>
          <w:rFonts w:ascii="Arial" w:hAnsi="Arial" w:cs="Arial"/>
          <w:b/>
          <w:bCs/>
        </w:rPr>
        <w:t>3、</w:t>
      </w:r>
      <w:r>
        <w:rPr>
          <w:rFonts w:hint="eastAsia" w:ascii="Arial" w:hAnsi="Arial" w:cs="Arial"/>
          <w:b/>
          <w:bCs/>
        </w:rPr>
        <w:t>验</w:t>
      </w:r>
      <w:r>
        <w:rPr>
          <w:rFonts w:ascii="Arial" w:hAnsi="Arial" w:cs="Arial"/>
          <w:b/>
          <w:bCs/>
        </w:rPr>
        <w:t>收款</w:t>
      </w:r>
    </w:p>
    <w:p>
      <w:pPr>
        <w:spacing w:line="360" w:lineRule="auto"/>
        <w:ind w:left="420" w:leftChars="200"/>
        <w:rPr>
          <w:rFonts w:hint="eastAsia" w:ascii="Arial" w:hAnsi="Arial" w:cs="Arial"/>
        </w:rPr>
      </w:pPr>
      <w:r>
        <w:rPr>
          <w:rFonts w:ascii="Arial" w:hAnsi="Arial" w:cs="Arial"/>
        </w:rPr>
        <w:t>合同设备依照交货期限运抵甲方指定交货地后，甲方依照本合同附件之质量要求及技术标准对合同设备进行验收，甲方出具书面验收合格报告后，于七个工作日内向乙方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w:t>
      </w:r>
      <w:r>
        <w:rPr>
          <w:rFonts w:ascii="Arial" w:hAnsi="Arial" w:cs="Arial"/>
        </w:rPr>
        <w:t>作为验收款；</w:t>
      </w:r>
    </w:p>
    <w:p>
      <w:pPr>
        <w:spacing w:line="360" w:lineRule="auto"/>
        <w:ind w:firstLine="480"/>
        <w:rPr>
          <w:rFonts w:ascii="Arial" w:hAnsi="Arial" w:cs="Arial"/>
          <w:b/>
          <w:bCs/>
        </w:rPr>
      </w:pPr>
      <w:r>
        <w:rPr>
          <w:rFonts w:ascii="Arial" w:hAnsi="Arial" w:cs="Arial"/>
          <w:b/>
          <w:bCs/>
        </w:rPr>
        <w:t>4</w:t>
      </w:r>
      <w:r>
        <w:rPr>
          <w:rFonts w:hint="eastAsia" w:ascii="Arial" w:hAnsi="Arial" w:cs="Arial"/>
          <w:b/>
          <w:bCs/>
        </w:rPr>
        <w:t>、</w:t>
      </w:r>
      <w:r>
        <w:rPr>
          <w:rFonts w:ascii="Arial" w:hAnsi="Arial" w:cs="Arial"/>
          <w:b/>
          <w:bCs/>
        </w:rPr>
        <w:t>质保金</w:t>
      </w:r>
    </w:p>
    <w:p>
      <w:pPr>
        <w:spacing w:line="360" w:lineRule="auto"/>
        <w:ind w:left="420" w:leftChars="200"/>
        <w:rPr>
          <w:rFonts w:ascii="Arial" w:hAnsi="Arial" w:cs="Arial"/>
        </w:rPr>
      </w:pPr>
      <w:r>
        <w:rPr>
          <w:rFonts w:ascii="Arial" w:hAnsi="Arial" w:cs="Arial"/>
        </w:rPr>
        <w:t>剩余合同总价的</w:t>
      </w:r>
      <w:r>
        <w:rPr>
          <w:rFonts w:hint="eastAsia" w:ascii="Arial" w:hAnsi="Arial" w:cs="Arial"/>
          <w:lang w:val="en-US" w:eastAsia="zh-CN"/>
        </w:rPr>
        <w:t>10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作为质保金，</w:t>
      </w:r>
      <w:r>
        <w:rPr>
          <w:rFonts w:hint="eastAsia" w:ascii="Arial" w:hAnsi="Arial" w:cs="Arial"/>
        </w:rPr>
        <w:t>从验收报告生效之日开始计算整一年后结束</w:t>
      </w:r>
      <w:r>
        <w:rPr>
          <w:rFonts w:ascii="Arial" w:hAnsi="Arial" w:cs="Arial"/>
        </w:rPr>
        <w:t>。设备在质保期内无任何质量问题、质保期满甲方未向乙方索赔或索赔完成、扣除相应违约金后，乙方应向甲方发书面质保金支付申请，经甲方审核后向乙方</w:t>
      </w:r>
      <w:r>
        <w:rPr>
          <w:rFonts w:hint="eastAsia" w:ascii="Arial" w:hAnsi="Arial" w:cs="Arial"/>
        </w:rPr>
        <w:t>以银行账户转账形式</w:t>
      </w:r>
      <w:r>
        <w:rPr>
          <w:rFonts w:ascii="Arial" w:hAnsi="Arial" w:cs="Arial"/>
        </w:rPr>
        <w:t>付清。</w:t>
      </w:r>
    </w:p>
    <w:p>
      <w:pPr>
        <w:spacing w:before="156" w:beforeLines="50" w:line="360" w:lineRule="auto"/>
        <w:rPr>
          <w:rFonts w:ascii="Arial" w:hAnsi="Arial" w:cs="Arial"/>
          <w:b/>
          <w:bCs/>
        </w:rPr>
      </w:pPr>
      <w:r>
        <w:rPr>
          <w:rFonts w:ascii="Arial" w:hAnsi="Arial" w:cs="Arial"/>
          <w:b/>
          <w:bCs/>
        </w:rPr>
        <w:t>七、安装调试</w:t>
      </w:r>
    </w:p>
    <w:p>
      <w:pPr>
        <w:spacing w:line="360" w:lineRule="auto"/>
        <w:ind w:firstLine="480"/>
        <w:rPr>
          <w:rFonts w:ascii="Arial" w:hAnsi="Arial" w:cs="Arial"/>
        </w:rPr>
      </w:pPr>
      <w:r>
        <w:rPr>
          <w:rFonts w:ascii="Arial" w:hAnsi="Arial" w:cs="Arial"/>
        </w:rPr>
        <w:t>1.设备交付后，乙方应按计划立刻进行安装和调试，调试合格后双方签署调试验收报告，视为产品合格通过验收。</w:t>
      </w:r>
    </w:p>
    <w:p>
      <w:pPr>
        <w:spacing w:line="360" w:lineRule="auto"/>
        <w:ind w:firstLine="480"/>
        <w:rPr>
          <w:rFonts w:ascii="Arial" w:hAnsi="Arial" w:cs="Arial"/>
        </w:rPr>
      </w:pPr>
      <w:r>
        <w:rPr>
          <w:rFonts w:ascii="Arial" w:hAnsi="Arial" w:cs="Arial"/>
        </w:rPr>
        <w:t>2.设备验收合格后，乙方须指派专业工程师对甲方相关操作人员（包括设备管理人员）进行培训指导。直到甲方操作人员完全掌握为止。</w:t>
      </w:r>
    </w:p>
    <w:p>
      <w:pPr>
        <w:spacing w:line="360" w:lineRule="auto"/>
        <w:ind w:firstLine="480"/>
        <w:rPr>
          <w:rFonts w:ascii="Arial" w:hAnsi="Arial" w:cs="Arial"/>
          <w:color w:val="FF0000"/>
        </w:rPr>
      </w:pPr>
      <w:r>
        <w:rPr>
          <w:rFonts w:ascii="Arial" w:hAnsi="Arial" w:cs="Arial"/>
        </w:rPr>
        <w:t>3.</w:t>
      </w:r>
      <w:r>
        <w:rPr>
          <w:rFonts w:ascii="Arial" w:hAnsi="Arial" w:cs="Arial"/>
          <w:sz w:val="28"/>
          <w:szCs w:val="28"/>
        </w:rPr>
        <w:t xml:space="preserve"> </w:t>
      </w:r>
      <w:r>
        <w:rPr>
          <w:rFonts w:ascii="Arial" w:hAnsi="Arial" w:cs="Arial"/>
          <w:color w:val="FF0000"/>
        </w:rPr>
        <w:t>乙方安装调试人员的住宿及早餐自理，甲方按甲方食堂标准提供中午和晚上的工作餐</w:t>
      </w:r>
      <w:r>
        <w:rPr>
          <w:rFonts w:hint="eastAsia" w:ascii="Arial" w:hAnsi="Arial" w:cs="Arial"/>
          <w:color w:val="FF0000"/>
          <w:highlight w:val="none"/>
          <w:lang w:eastAsia="zh-CN"/>
        </w:rPr>
        <w:t>（费用自理）</w:t>
      </w:r>
      <w:r>
        <w:rPr>
          <w:rFonts w:ascii="Arial" w:hAnsi="Arial" w:cs="Arial"/>
          <w:color w:val="FF0000"/>
          <w:highlight w:val="none"/>
        </w:rPr>
        <w:t>。</w:t>
      </w:r>
    </w:p>
    <w:p>
      <w:pPr>
        <w:spacing w:line="360" w:lineRule="auto"/>
        <w:rPr>
          <w:rFonts w:ascii="Arial" w:hAnsi="Arial" w:cs="Arial"/>
          <w:b/>
        </w:rPr>
      </w:pPr>
      <w:r>
        <w:rPr>
          <w:rFonts w:ascii="Arial" w:hAnsi="Arial" w:cs="Arial"/>
          <w:b/>
        </w:rPr>
        <w:t>八、验收</w:t>
      </w:r>
    </w:p>
    <w:p>
      <w:pPr>
        <w:spacing w:line="360" w:lineRule="auto"/>
        <w:rPr>
          <w:rFonts w:ascii="Arial" w:hAnsi="Arial" w:cs="Arial"/>
        </w:rPr>
      </w:pPr>
      <w:r>
        <w:rPr>
          <w:rFonts w:ascii="Arial" w:hAnsi="Arial" w:cs="Arial"/>
        </w:rPr>
        <w:t xml:space="preserve">    验收标准按照</w:t>
      </w:r>
      <w:r>
        <w:rPr>
          <w:rFonts w:hint="eastAsia" w:ascii="Arial" w:hAnsi="Arial" w:cs="Arial"/>
        </w:rPr>
        <w:t>本协议附件二之《技术要求》</w:t>
      </w:r>
      <w:r>
        <w:rPr>
          <w:rFonts w:ascii="Arial" w:hAnsi="Arial" w:cs="Arial"/>
        </w:rPr>
        <w:t>里约定的验收标准。</w:t>
      </w:r>
    </w:p>
    <w:p>
      <w:pPr>
        <w:spacing w:before="156" w:beforeLines="50" w:line="360" w:lineRule="auto"/>
        <w:rPr>
          <w:rFonts w:ascii="Arial" w:hAnsi="Arial" w:cs="Arial"/>
          <w:b/>
          <w:bCs/>
        </w:rPr>
      </w:pPr>
      <w:r>
        <w:rPr>
          <w:rFonts w:ascii="Arial" w:hAnsi="Arial" w:cs="Arial"/>
          <w:b/>
          <w:bCs/>
        </w:rPr>
        <w:t>九、违约责任</w:t>
      </w:r>
    </w:p>
    <w:p>
      <w:pPr>
        <w:spacing w:line="360" w:lineRule="auto"/>
        <w:rPr>
          <w:rFonts w:ascii="Arial" w:hAnsi="Arial" w:cs="Arial"/>
        </w:rPr>
      </w:pPr>
      <w:r>
        <w:rPr>
          <w:rFonts w:ascii="Arial" w:hAnsi="Arial" w:cs="Arial"/>
        </w:rPr>
        <w:t xml:space="preserve">    1.乙方未在约定时间内向甲方交付合同设备的，每延迟一天，甲方将于未向乙方支付的剩余合同款中扣除合同总价的</w:t>
      </w:r>
      <w:r>
        <w:rPr>
          <w:rFonts w:ascii="Arial" w:hAnsi="Arial" w:cs="Arial"/>
          <w:u w:val="single"/>
        </w:rPr>
        <w:t>5</w:t>
      </w:r>
      <w:r>
        <w:rPr>
          <w:rFonts w:ascii="Arial" w:hAnsi="Arial" w:cs="Arial"/>
        </w:rPr>
        <w:t>‰作为违约金；延迟超过</w:t>
      </w:r>
      <w:r>
        <w:rPr>
          <w:rFonts w:ascii="Arial" w:hAnsi="Arial" w:cs="Arial"/>
          <w:u w:val="single"/>
        </w:rPr>
        <w:t xml:space="preserve"> 30  </w:t>
      </w:r>
      <w:r>
        <w:rPr>
          <w:rFonts w:ascii="Arial" w:hAnsi="Arial" w:cs="Arial"/>
        </w:rPr>
        <w:t>天的甲方有权单方面以书面形式解除合同，要求退款退货，并就甲方相关损失向乙方索赔。</w:t>
      </w:r>
    </w:p>
    <w:p>
      <w:pPr>
        <w:spacing w:line="360" w:lineRule="auto"/>
        <w:rPr>
          <w:rFonts w:ascii="Arial" w:hAnsi="Arial" w:cs="Arial"/>
        </w:rPr>
      </w:pPr>
      <w:r>
        <w:rPr>
          <w:rFonts w:ascii="Arial" w:hAnsi="Arial" w:cs="Arial"/>
        </w:rPr>
        <w:t xml:space="preserve">    2.自甲方通知乙方对合同设备进行调试之日起，乙方每台设备调试时间应不多于十五天，如调试期结束后仍无法达到本合同第二条技术规范内对合同设备的质量要求标准的，视作乙方违约，甲方可以：</w:t>
      </w:r>
    </w:p>
    <w:p>
      <w:pPr>
        <w:spacing w:line="360" w:lineRule="auto"/>
        <w:rPr>
          <w:rFonts w:ascii="Arial" w:hAnsi="Arial" w:cs="Arial"/>
        </w:rPr>
      </w:pPr>
      <w:r>
        <w:rPr>
          <w:rFonts w:ascii="Arial" w:hAnsi="Arial" w:cs="Arial"/>
        </w:rPr>
        <w:t xml:space="preserve">    （1）向乙方索赔，要求乙方退款退货，并自通知乙方对合同设备进行调试之日起至甲方发出书面索赔通知之日止，每天按合同总价的</w:t>
      </w:r>
      <w:r>
        <w:rPr>
          <w:rFonts w:ascii="Arial" w:hAnsi="Arial" w:cs="Arial"/>
          <w:u w:val="single"/>
        </w:rPr>
        <w:t xml:space="preserve"> 5‰ </w:t>
      </w:r>
      <w:r>
        <w:rPr>
          <w:rFonts w:ascii="Arial" w:hAnsi="Arial" w:cs="Arial"/>
        </w:rPr>
        <w:t>要求乙方支付违约金，并有权就因此导致的甲方全部损失向乙方索赔；</w:t>
      </w:r>
    </w:p>
    <w:p>
      <w:pPr>
        <w:spacing w:line="360" w:lineRule="auto"/>
        <w:ind w:firstLine="420"/>
        <w:rPr>
          <w:rFonts w:hint="eastAsia" w:ascii="Arial" w:hAnsi="Arial" w:cs="Arial"/>
          <w:lang w:eastAsia="zh-CN"/>
        </w:rPr>
      </w:pPr>
      <w:r>
        <w:rPr>
          <w:rFonts w:ascii="Arial" w:hAnsi="Arial" w:cs="Arial"/>
        </w:rPr>
        <w:t>（2）要求乙方对合同设备继续进行调试，至合同设备达到约定的标准，并要求乙方自超出调试之日起至调试合格之日止，每天按合同总价的</w:t>
      </w:r>
      <w:r>
        <w:rPr>
          <w:rFonts w:ascii="Arial" w:hAnsi="Arial" w:cs="Arial"/>
          <w:u w:val="single"/>
        </w:rPr>
        <w:t xml:space="preserve"> 5 ‰</w:t>
      </w:r>
      <w:r>
        <w:rPr>
          <w:rFonts w:ascii="Arial" w:hAnsi="Arial" w:cs="Arial"/>
        </w:rPr>
        <w:t>向甲方支付违约金。</w:t>
      </w:r>
      <w:r>
        <w:rPr>
          <w:rFonts w:hint="eastAsia" w:ascii="Arial" w:hAnsi="Arial" w:cs="Arial"/>
          <w:lang w:eastAsia="zh-CN"/>
        </w:rPr>
        <w:t>、</w:t>
      </w:r>
    </w:p>
    <w:p>
      <w:pPr>
        <w:spacing w:line="360" w:lineRule="auto"/>
        <w:ind w:firstLine="420"/>
        <w:rPr>
          <w:rFonts w:hint="eastAsia" w:ascii="Arial" w:hAnsi="Arial" w:cs="Arial"/>
          <w:color w:val="FF0000"/>
          <w:lang w:val="en-US" w:eastAsia="zh-CN"/>
        </w:rPr>
      </w:pPr>
      <w:r>
        <w:rPr>
          <w:rFonts w:hint="eastAsia" w:ascii="Arial" w:hAnsi="Arial" w:cs="Arial"/>
          <w:color w:val="FF0000"/>
          <w:lang w:val="en-US" w:eastAsia="zh-CN"/>
        </w:rPr>
        <w:t>3.因乙方设备质量问题，导致甲方人员或财产损失，或者导致其他安全责任事故的，乙方需要承担所有责任，并赔偿甲方因此遭受的一切损失。</w:t>
      </w:r>
    </w:p>
    <w:p>
      <w:pPr>
        <w:spacing w:before="156" w:beforeLines="50" w:line="360" w:lineRule="auto"/>
        <w:rPr>
          <w:rFonts w:ascii="Arial" w:hAnsi="Arial" w:cs="Arial"/>
          <w:b/>
          <w:bCs/>
        </w:rPr>
      </w:pPr>
      <w:r>
        <w:rPr>
          <w:rFonts w:ascii="Arial" w:hAnsi="Arial" w:cs="Arial"/>
          <w:b/>
          <w:bCs/>
        </w:rPr>
        <w:t>十、质保期</w:t>
      </w:r>
    </w:p>
    <w:p>
      <w:pPr>
        <w:spacing w:line="360" w:lineRule="auto"/>
        <w:rPr>
          <w:rFonts w:ascii="Arial" w:hAnsi="Arial" w:cs="Arial"/>
        </w:rPr>
      </w:pPr>
      <w:r>
        <w:rPr>
          <w:rFonts w:ascii="Arial" w:hAnsi="Arial" w:cs="Arial"/>
        </w:rPr>
        <w:t xml:space="preserve">    1.合同设备质保期为</w:t>
      </w:r>
      <w:r>
        <w:rPr>
          <w:rFonts w:ascii="Arial" w:hAnsi="Arial" w:cs="Arial"/>
          <w:u w:val="single"/>
        </w:rPr>
        <w:t xml:space="preserve"> </w:t>
      </w:r>
      <w:r>
        <w:rPr>
          <w:rFonts w:hint="eastAsia" w:ascii="Arial" w:hAnsi="Arial" w:cs="Arial"/>
          <w:u w:val="single"/>
          <w:lang w:val="en-US" w:eastAsia="zh-CN"/>
        </w:rPr>
        <w:t>12</w:t>
      </w:r>
      <w:r>
        <w:rPr>
          <w:rFonts w:ascii="Arial" w:hAnsi="Arial" w:cs="Arial"/>
        </w:rPr>
        <w:t>个月</w:t>
      </w:r>
      <w:r>
        <w:rPr>
          <w:rFonts w:hint="eastAsia" w:ascii="Arial" w:hAnsi="Arial" w:cs="Arial"/>
        </w:rPr>
        <w:t>或货到现场18个月</w:t>
      </w:r>
      <w:r>
        <w:rPr>
          <w:rFonts w:ascii="Arial" w:hAnsi="Arial" w:cs="Arial"/>
        </w:rPr>
        <w:t>，从甲方签署合同设备验收报告之日起计算；因甲方原因造成交货后六个月未签署验收报告的，质保期从六个月届满之日起计算。质保期内出现的质量问题，乙方应免费检测、维修及更换，乙方接到甲方维修请求时，乙方应在2小时内给予响应，24小时内给出解决方案。如乙方未在上述约定期限内给予响应，视为乙方违约，每逾24小时，甲方有权直接于未向乙方支付的质保金内按合同总价的0.5‰扣除违约金，并有权就因设备质量问题导致的甲方全部损失向乙方索赔。</w:t>
      </w:r>
    </w:p>
    <w:p>
      <w:pPr>
        <w:spacing w:line="360" w:lineRule="auto"/>
        <w:rPr>
          <w:rFonts w:ascii="Arial" w:hAnsi="Arial" w:cs="Arial"/>
        </w:rPr>
      </w:pPr>
      <w:r>
        <w:rPr>
          <w:rFonts w:ascii="Arial" w:hAnsi="Arial" w:cs="Arial"/>
        </w:rPr>
        <w:t xml:space="preserve">    2.易损易耗件质保使用期限为</w:t>
      </w:r>
      <w:r>
        <w:rPr>
          <w:rFonts w:ascii="Arial" w:hAnsi="Arial" w:cs="Arial"/>
          <w:u w:val="single"/>
        </w:rPr>
        <w:t xml:space="preserve"> 12 </w:t>
      </w:r>
      <w:r>
        <w:rPr>
          <w:rFonts w:ascii="Arial" w:hAnsi="Arial" w:cs="Arial"/>
        </w:rPr>
        <w:t>个月，若因质量问题需要更换，则更换后的易损易耗件重新计算质保时间（最长为质保期满后6个月）；设备意外出现故障部位，乙方要及时根据甲方需求提供技术支持，包括图纸；</w:t>
      </w:r>
    </w:p>
    <w:p>
      <w:pPr>
        <w:spacing w:before="156" w:beforeLines="50" w:line="360" w:lineRule="auto"/>
        <w:rPr>
          <w:rFonts w:ascii="Arial" w:hAnsi="Arial" w:cs="Arial"/>
          <w:b/>
          <w:bCs/>
        </w:rPr>
      </w:pPr>
      <w:r>
        <w:rPr>
          <w:rFonts w:ascii="Arial" w:hAnsi="Arial" w:cs="Arial"/>
          <w:b/>
          <w:bCs/>
        </w:rPr>
        <w:t>十一、纠纷解决方式</w:t>
      </w:r>
    </w:p>
    <w:p>
      <w:pPr>
        <w:spacing w:line="360" w:lineRule="auto"/>
        <w:rPr>
          <w:rFonts w:ascii="Arial" w:hAnsi="Arial" w:cs="Arial"/>
        </w:rPr>
      </w:pPr>
      <w:r>
        <w:rPr>
          <w:rFonts w:ascii="Arial" w:hAnsi="Arial" w:cs="Arial"/>
        </w:rPr>
        <w:t>本合同发生纠纷时，双方协商解决，协商不成时，合同任一方均可向合同签订地人民法院提起诉讼。</w:t>
      </w:r>
    </w:p>
    <w:p>
      <w:pPr>
        <w:spacing w:before="156" w:beforeLines="50" w:line="360" w:lineRule="auto"/>
        <w:rPr>
          <w:rFonts w:ascii="Arial" w:hAnsi="Arial" w:cs="Arial"/>
          <w:b/>
          <w:bCs/>
        </w:rPr>
      </w:pPr>
      <w:r>
        <w:rPr>
          <w:rFonts w:ascii="Arial" w:hAnsi="Arial" w:cs="Arial"/>
          <w:b/>
          <w:bCs/>
        </w:rPr>
        <w:t>十二、其它</w:t>
      </w:r>
    </w:p>
    <w:p>
      <w:pPr>
        <w:spacing w:before="156" w:beforeLines="50" w:line="360" w:lineRule="auto"/>
        <w:rPr>
          <w:rFonts w:ascii="Arial" w:hAnsi="Arial" w:cs="Arial"/>
        </w:rPr>
      </w:pPr>
      <w:r>
        <w:rPr>
          <w:rFonts w:ascii="Arial" w:hAnsi="Arial" w:cs="Arial"/>
        </w:rPr>
        <w:t>本合同自双方</w:t>
      </w:r>
      <w:r>
        <w:rPr>
          <w:rFonts w:hint="eastAsia" w:ascii="Arial" w:hAnsi="Arial" w:cs="Arial"/>
          <w:lang w:eastAsia="zh-CN"/>
        </w:rPr>
        <w:t>盖</w:t>
      </w:r>
      <w:r>
        <w:rPr>
          <w:rFonts w:ascii="Arial" w:hAnsi="Arial" w:cs="Arial"/>
        </w:rPr>
        <w:t>合同专用章之日起生效，本合同一式</w:t>
      </w:r>
      <w:r>
        <w:rPr>
          <w:rFonts w:hint="eastAsia" w:ascii="Arial" w:hAnsi="Arial" w:cs="Arial"/>
          <w:lang w:eastAsia="zh-CN"/>
        </w:rPr>
        <w:t>肆</w:t>
      </w:r>
      <w:r>
        <w:rPr>
          <w:rFonts w:ascii="Arial" w:hAnsi="Arial" w:cs="Arial"/>
        </w:rPr>
        <w:t>份，双方各执</w:t>
      </w:r>
      <w:r>
        <w:rPr>
          <w:rFonts w:hint="eastAsia" w:ascii="Arial" w:hAnsi="Arial" w:cs="Arial"/>
          <w:lang w:eastAsia="zh-CN"/>
        </w:rPr>
        <w:t>俩</w:t>
      </w:r>
      <w:r>
        <w:rPr>
          <w:rFonts w:ascii="Arial" w:hAnsi="Arial" w:cs="Arial"/>
        </w:rPr>
        <w:t>份，具有同等法律效力</w:t>
      </w:r>
    </w:p>
    <w:p>
      <w:pPr>
        <w:spacing w:before="156" w:beforeLines="50" w:line="360" w:lineRule="auto"/>
        <w:rPr>
          <w:rFonts w:ascii="Arial" w:hAnsi="Arial" w:cs="Arial"/>
          <w:b/>
          <w:bCs/>
        </w:rPr>
      </w:pPr>
      <w:r>
        <w:rPr>
          <w:rFonts w:ascii="Arial" w:hAnsi="Arial" w:cs="Arial"/>
          <w:b/>
          <w:bCs/>
        </w:rPr>
        <w:t>十三、附件</w:t>
      </w:r>
    </w:p>
    <w:p>
      <w:pPr>
        <w:spacing w:before="156" w:beforeLines="50" w:after="156" w:afterLines="50" w:line="360" w:lineRule="auto"/>
        <w:ind w:firstLine="450"/>
        <w:rPr>
          <w:rFonts w:hint="eastAsia" w:ascii="Arial" w:hAnsi="Arial" w:cs="Arial"/>
        </w:rPr>
      </w:pPr>
      <w:r>
        <w:rPr>
          <w:rFonts w:ascii="Arial" w:hAnsi="Arial" w:cs="Arial"/>
        </w:rPr>
        <w:t>附件</w:t>
      </w:r>
      <w:r>
        <w:rPr>
          <w:rFonts w:hint="eastAsia" w:ascii="Arial" w:hAnsi="Arial" w:cs="Arial"/>
        </w:rPr>
        <w:t>一</w:t>
      </w:r>
      <w:r>
        <w:rPr>
          <w:rFonts w:ascii="Arial" w:hAnsi="Arial" w:cs="Arial"/>
        </w:rPr>
        <w:t>、</w:t>
      </w:r>
      <w:r>
        <w:rPr>
          <w:rFonts w:hint="eastAsia" w:ascii="Arial" w:hAnsi="Arial" w:cs="Arial"/>
        </w:rPr>
        <w:t>设备</w:t>
      </w:r>
      <w:r>
        <w:rPr>
          <w:rFonts w:ascii="Arial" w:hAnsi="Arial" w:cs="Arial"/>
        </w:rPr>
        <w:t>技术</w:t>
      </w:r>
      <w:r>
        <w:rPr>
          <w:rFonts w:hint="eastAsia" w:ascii="Arial" w:hAnsi="Arial" w:cs="Arial"/>
        </w:rPr>
        <w:t>协议（另外附件）</w:t>
      </w:r>
    </w:p>
    <w:p>
      <w:pPr>
        <w:spacing w:before="156" w:beforeLines="50" w:after="156" w:afterLines="50" w:line="360" w:lineRule="auto"/>
        <w:ind w:firstLine="450"/>
        <w:rPr>
          <w:rFonts w:hint="eastAsia" w:ascii="Arial" w:hAnsi="Arial" w:cs="Arial"/>
          <w:lang w:eastAsia="zh-CN"/>
        </w:rPr>
      </w:pPr>
      <w:r>
        <w:rPr>
          <w:rFonts w:hint="eastAsia" w:ascii="Arial" w:hAnsi="Arial" w:cs="Arial"/>
          <w:lang w:eastAsia="zh-CN"/>
        </w:rPr>
        <w:t>附件二、廉洁协议</w:t>
      </w:r>
      <w:r>
        <w:rPr>
          <w:rFonts w:hint="eastAsia" w:ascii="Arial" w:hAnsi="Arial" w:cs="Arial"/>
        </w:rPr>
        <w:t>（另外附件）</w:t>
      </w:r>
    </w:p>
    <w:tbl>
      <w:tblPr>
        <w:tblStyle w:val="42"/>
        <w:tblpPr w:leftFromText="180" w:rightFromText="180" w:vertAnchor="text" w:horzAnchor="page" w:tblpX="1455" w:tblpY="816"/>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8"/>
        <w:gridCol w:w="4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1" w:hRule="atLeast"/>
          <w:jc w:val="center"/>
        </w:trPr>
        <w:tc>
          <w:tcPr>
            <w:tcW w:w="5148" w:type="dxa"/>
            <w:vAlign w:val="top"/>
          </w:tcPr>
          <w:p>
            <w:pPr>
              <w:spacing w:line="400" w:lineRule="exact"/>
              <w:rPr>
                <w:rFonts w:ascii="Arial" w:hAnsi="Arial" w:cs="Arial"/>
              </w:rPr>
            </w:pPr>
            <w:r>
              <w:rPr>
                <w:rFonts w:ascii="Arial" w:hAnsi="Arial" w:cs="Arial"/>
              </w:rPr>
              <w:t>甲方：（章）</w:t>
            </w:r>
            <w:r>
              <w:rPr>
                <w:rFonts w:ascii="Arial" w:hAnsi="Arial" w:cs="Arial"/>
                <w:kern w:val="28"/>
              </w:rPr>
              <w:t>广州电缆厂有限公司</w:t>
            </w:r>
          </w:p>
          <w:p>
            <w:pPr>
              <w:spacing w:line="400" w:lineRule="exact"/>
              <w:rPr>
                <w:rFonts w:ascii="Arial" w:hAnsi="Arial" w:cs="Arial"/>
              </w:rPr>
            </w:pPr>
            <w:r>
              <w:rPr>
                <w:rFonts w:ascii="Arial" w:hAnsi="Arial" w:cs="Arial"/>
              </w:rPr>
              <w:t>单位地址：广州市南沙区榄核镇榄张路51号</w:t>
            </w:r>
          </w:p>
          <w:p>
            <w:pPr>
              <w:spacing w:line="400" w:lineRule="exact"/>
              <w:rPr>
                <w:rFonts w:ascii="Arial" w:hAnsi="Arial" w:cs="Arial"/>
              </w:rPr>
            </w:pPr>
            <w:r>
              <w:rPr>
                <w:rFonts w:ascii="Arial" w:hAnsi="Arial" w:cs="Arial"/>
              </w:rPr>
              <w:t>法定代表人：余群光</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电话：020-81985243</w:t>
            </w:r>
          </w:p>
          <w:p>
            <w:pPr>
              <w:spacing w:line="400" w:lineRule="exact"/>
              <w:rPr>
                <w:rFonts w:ascii="Arial" w:hAnsi="Arial" w:cs="Arial"/>
              </w:rPr>
            </w:pPr>
            <w:r>
              <w:rPr>
                <w:rFonts w:ascii="Arial" w:hAnsi="Arial" w:cs="Arial"/>
              </w:rPr>
              <w:t>开户银行：</w:t>
            </w:r>
            <w:r>
              <w:rPr>
                <w:rFonts w:hint="eastAsia"/>
              </w:rPr>
              <w:t>中信银行广州中国大酒店支行</w:t>
            </w:r>
          </w:p>
          <w:p>
            <w:pPr>
              <w:spacing w:line="400" w:lineRule="exact"/>
              <w:rPr>
                <w:rFonts w:hint="eastAsia" w:ascii="Arial" w:hAnsi="Arial" w:cs="Arial"/>
              </w:rPr>
            </w:pPr>
            <w:r>
              <w:rPr>
                <w:rFonts w:ascii="Arial" w:hAnsi="Arial" w:cs="Arial"/>
              </w:rPr>
              <w:t>帐号：</w:t>
            </w:r>
            <w:r>
              <w:rPr>
                <w:rFonts w:hint="eastAsia" w:ascii="Arial" w:hAnsi="Arial" w:cs="Arial"/>
              </w:rPr>
              <w:t>7443800182600070980</w:t>
            </w:r>
          </w:p>
          <w:p>
            <w:pPr>
              <w:spacing w:line="400" w:lineRule="exact"/>
              <w:rPr>
                <w:rFonts w:ascii="Arial" w:hAnsi="Arial" w:cs="Arial"/>
              </w:rPr>
            </w:pPr>
          </w:p>
        </w:tc>
        <w:tc>
          <w:tcPr>
            <w:tcW w:w="4458" w:type="dxa"/>
            <w:vAlign w:val="top"/>
          </w:tcPr>
          <w:p>
            <w:pPr>
              <w:spacing w:line="400" w:lineRule="exact"/>
              <w:rPr>
                <w:rFonts w:ascii="Arial" w:hAnsi="Arial" w:cs="Arial"/>
              </w:rPr>
            </w:pPr>
            <w:r>
              <w:rPr>
                <w:rFonts w:ascii="Arial" w:hAnsi="Arial" w:cs="Arial"/>
              </w:rPr>
              <w:t xml:space="preserve">乙方：（章） </w:t>
            </w:r>
          </w:p>
          <w:p>
            <w:pPr>
              <w:spacing w:line="400" w:lineRule="exact"/>
              <w:rPr>
                <w:rFonts w:ascii="Arial" w:hAnsi="Arial" w:cs="Arial"/>
              </w:rPr>
            </w:pPr>
            <w:r>
              <w:rPr>
                <w:rFonts w:ascii="Arial" w:hAnsi="Arial" w:cs="Arial"/>
              </w:rPr>
              <w:t>单位地址：</w:t>
            </w:r>
          </w:p>
          <w:p>
            <w:pPr>
              <w:spacing w:line="400" w:lineRule="exact"/>
              <w:rPr>
                <w:rFonts w:ascii="Arial" w:hAnsi="Arial" w:cs="Arial"/>
              </w:rPr>
            </w:pPr>
            <w:r>
              <w:rPr>
                <w:rFonts w:ascii="Arial" w:hAnsi="Arial" w:cs="Arial"/>
              </w:rPr>
              <w:t>法定代表人：</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w:t>
            </w:r>
            <w:r>
              <w:rPr>
                <w:rFonts w:hint="eastAsia" w:ascii="Arial" w:hAnsi="Arial" w:cs="Arial"/>
              </w:rPr>
              <w:t xml:space="preserve"> </w:t>
            </w:r>
          </w:p>
          <w:p>
            <w:pPr>
              <w:spacing w:line="400" w:lineRule="exact"/>
              <w:rPr>
                <w:rFonts w:hint="eastAsia" w:ascii="Arial" w:hAnsi="Arial" w:cs="Arial"/>
              </w:rPr>
            </w:pPr>
            <w:r>
              <w:rPr>
                <w:rFonts w:ascii="Arial" w:hAnsi="Arial" w:cs="Arial"/>
              </w:rPr>
              <w:t>开户银行：</w:t>
            </w:r>
          </w:p>
          <w:p>
            <w:pPr>
              <w:spacing w:line="400" w:lineRule="exact"/>
              <w:rPr>
                <w:rFonts w:ascii="Arial" w:hAnsi="Arial" w:cs="Arial"/>
              </w:rPr>
            </w:pPr>
            <w:r>
              <w:rPr>
                <w:rFonts w:ascii="Arial" w:hAnsi="Arial" w:cs="Arial"/>
              </w:rPr>
              <w:t>帐号：</w:t>
            </w:r>
          </w:p>
        </w:tc>
      </w:tr>
    </w:tbl>
    <w:p>
      <w:pPr>
        <w:spacing w:before="156" w:beforeLines="50" w:after="156" w:afterLines="50" w:line="360" w:lineRule="auto"/>
        <w:ind w:firstLine="450"/>
        <w:rPr>
          <w:rFonts w:hint="eastAsia" w:ascii="Arial" w:hAnsi="Arial" w:cs="Arial"/>
          <w:lang w:eastAsia="zh-CN"/>
        </w:rPr>
      </w:pPr>
      <w:r>
        <w:rPr>
          <w:rFonts w:hint="eastAsia" w:ascii="Arial" w:hAnsi="Arial" w:cs="Arial"/>
          <w:lang w:eastAsia="zh-CN"/>
        </w:rPr>
        <w:t>附件三、安全协议</w:t>
      </w:r>
      <w:r>
        <w:rPr>
          <w:rFonts w:hint="eastAsia" w:ascii="Arial" w:hAnsi="Arial" w:cs="Arial"/>
        </w:rPr>
        <w:t>（另外附件）</w:t>
      </w:r>
    </w:p>
    <w:p>
      <w:pPr>
        <w:pStyle w:val="58"/>
        <w:ind w:left="0" w:leftChars="0" w:firstLine="0" w:firstLineChars="0"/>
        <w:jc w:val="both"/>
      </w:pPr>
      <w:bookmarkStart w:id="80" w:name="_Toc42003713"/>
      <w:bookmarkEnd w:id="80"/>
    </w:p>
    <w:p>
      <w:pPr>
        <w:pStyle w:val="58"/>
        <w:jc w:val="center"/>
      </w:pPr>
    </w:p>
    <w:p>
      <w:pPr>
        <w:pStyle w:val="36"/>
        <w:jc w:val="both"/>
      </w:pPr>
      <w:bookmarkStart w:id="81" w:name="_Toc69378303"/>
    </w:p>
    <w:p>
      <w:pPr>
        <w:pStyle w:val="36"/>
      </w:pPr>
      <w:r>
        <w:t>第五部分 投标文件格式</w:t>
      </w:r>
      <w:bookmarkEnd w:id="81"/>
    </w:p>
    <w:p>
      <w:pPr>
        <w:jc w:val="center"/>
        <w:rPr>
          <w:b/>
          <w:sz w:val="28"/>
          <w:szCs w:val="28"/>
        </w:rPr>
      </w:pPr>
      <w:bookmarkStart w:id="82" w:name="_Toc263773417"/>
      <w:bookmarkEnd w:id="82"/>
      <w:r>
        <w:rPr>
          <w:b/>
          <w:sz w:val="28"/>
          <w:szCs w:val="28"/>
        </w:rPr>
        <w:t>1、投标函</w:t>
      </w:r>
    </w:p>
    <w:p>
      <w:pPr>
        <w:spacing w:line="360" w:lineRule="auto"/>
        <w:rPr>
          <w:rFonts w:ascii="宋体" w:hAnsi="宋体"/>
          <w:sz w:val="24"/>
        </w:rPr>
      </w:pPr>
      <w:r>
        <w:rPr>
          <w:rFonts w:ascii="宋体" w:hAnsi="宋体"/>
          <w:sz w:val="24"/>
        </w:rPr>
        <w:t>致：</w:t>
      </w:r>
      <w:r>
        <w:rPr>
          <w:rFonts w:ascii="宋体" w:hAnsi="宋体"/>
          <w:sz w:val="24"/>
          <w:u w:val="single"/>
        </w:rPr>
        <w:t xml:space="preserve"> （招标单位）                      </w:t>
      </w:r>
    </w:p>
    <w:p>
      <w:pPr>
        <w:spacing w:line="440" w:lineRule="exact"/>
        <w:ind w:firstLine="480"/>
        <w:rPr>
          <w:rFonts w:ascii="宋体" w:hAnsi="宋体"/>
          <w:bCs/>
          <w:sz w:val="24"/>
        </w:rPr>
      </w:pPr>
      <w:r>
        <w:rPr>
          <w:rFonts w:ascii="宋体" w:hAnsi="宋体"/>
          <w:sz w:val="24"/>
        </w:rPr>
        <w:t>授权为全权代表，参加贵方组织的</w:t>
      </w:r>
      <w:r>
        <w:rPr>
          <w:rFonts w:hint="eastAsia" w:ascii="宋体" w:hAnsi="宋体"/>
          <w:sz w:val="24"/>
        </w:rPr>
        <w:t>类货物采购包（</w:t>
      </w:r>
      <w:r>
        <w:rPr>
          <w:rFonts w:hint="eastAsia" w:ascii="宋体" w:hAnsi="宋体"/>
          <w:sz w:val="24"/>
          <w:lang w:eastAsia="zh-CN"/>
        </w:rPr>
        <w:t>招标项目编号</w:t>
      </w:r>
      <w:r>
        <w:rPr>
          <w:rFonts w:hint="eastAsia" w:ascii="宋体" w:hAnsi="宋体"/>
          <w:sz w:val="24"/>
        </w:rPr>
        <w:t>：）</w:t>
      </w:r>
      <w:r>
        <w:rPr>
          <w:rFonts w:ascii="宋体" w:hAnsi="宋体"/>
          <w:sz w:val="24"/>
        </w:rPr>
        <w:t>的有关活动，并对货物进行投标。为此：</w:t>
      </w:r>
    </w:p>
    <w:p>
      <w:pPr>
        <w:widowControl/>
        <w:numPr>
          <w:ilvl w:val="0"/>
          <w:numId w:val="3"/>
        </w:numPr>
        <w:spacing w:line="440" w:lineRule="exact"/>
        <w:ind w:left="780" w:hanging="360"/>
        <w:jc w:val="left"/>
        <w:rPr>
          <w:rFonts w:ascii="宋体" w:hAnsi="宋体"/>
          <w:sz w:val="24"/>
        </w:rPr>
      </w:pPr>
      <w:r>
        <w:rPr>
          <w:rFonts w:ascii="宋体" w:hAnsi="宋体"/>
          <w:sz w:val="24"/>
        </w:rPr>
        <w:t>提供</w:t>
      </w:r>
      <w:r>
        <w:rPr>
          <w:rFonts w:hint="eastAsia" w:ascii="宋体" w:hAnsi="宋体"/>
          <w:bCs/>
          <w:sz w:val="24"/>
        </w:rPr>
        <w:t>邀</w:t>
      </w:r>
      <w:r>
        <w:rPr>
          <w:rFonts w:ascii="宋体" w:hAnsi="宋体"/>
          <w:sz w:val="24"/>
        </w:rPr>
        <w:t>标须知规定的全部投标文件</w:t>
      </w:r>
      <w:r>
        <w:rPr>
          <w:rFonts w:hint="eastAsia" w:ascii="宋体" w:hAnsi="宋体"/>
          <w:sz w:val="24"/>
        </w:rPr>
        <w:t>。</w:t>
      </w:r>
    </w:p>
    <w:p>
      <w:pPr>
        <w:widowControl/>
        <w:numPr>
          <w:ilvl w:val="0"/>
          <w:numId w:val="3"/>
        </w:numPr>
        <w:spacing w:line="440" w:lineRule="exact"/>
        <w:ind w:left="780" w:hanging="360"/>
        <w:jc w:val="left"/>
        <w:rPr>
          <w:rFonts w:ascii="宋体" w:hAnsi="宋体"/>
          <w:sz w:val="24"/>
        </w:rPr>
      </w:pPr>
      <w:r>
        <w:rPr>
          <w:rFonts w:ascii="宋体" w:hAnsi="宋体"/>
          <w:sz w:val="24"/>
        </w:rPr>
        <w:t>投标总价为(大写)：元人民币，交付期为：</w:t>
      </w:r>
      <w:r>
        <w:rPr>
          <w:rFonts w:hint="eastAsia" w:ascii="宋体" w:hAnsi="宋体"/>
          <w:sz w:val="24"/>
        </w:rPr>
        <w:t>天</w:t>
      </w:r>
      <w:r>
        <w:rPr>
          <w:rFonts w:ascii="宋体" w:hAnsi="宋体"/>
          <w:sz w:val="24"/>
        </w:rPr>
        <w:t>，交货地点为：。</w:t>
      </w:r>
    </w:p>
    <w:p>
      <w:pPr>
        <w:widowControl/>
        <w:numPr>
          <w:ilvl w:val="0"/>
          <w:numId w:val="3"/>
        </w:numPr>
        <w:spacing w:line="440" w:lineRule="exact"/>
        <w:ind w:left="780" w:hanging="360"/>
        <w:jc w:val="left"/>
        <w:rPr>
          <w:rFonts w:ascii="宋体" w:hAnsi="宋体"/>
          <w:sz w:val="24"/>
        </w:rPr>
      </w:pPr>
      <w:r>
        <w:rPr>
          <w:rFonts w:ascii="宋体" w:hAnsi="宋体"/>
          <w:sz w:val="24"/>
        </w:rPr>
        <w:t>保证遵守</w:t>
      </w:r>
      <w:r>
        <w:rPr>
          <w:rFonts w:hint="eastAsia" w:ascii="宋体" w:hAnsi="宋体"/>
          <w:bCs/>
          <w:sz w:val="24"/>
        </w:rPr>
        <w:t>邀</w:t>
      </w:r>
      <w:r>
        <w:rPr>
          <w:rFonts w:ascii="宋体" w:hAnsi="宋体"/>
          <w:sz w:val="24"/>
        </w:rPr>
        <w:t>标文件中的有关规定和收费标准。</w:t>
      </w:r>
    </w:p>
    <w:p>
      <w:pPr>
        <w:widowControl/>
        <w:numPr>
          <w:ilvl w:val="0"/>
          <w:numId w:val="3"/>
        </w:numPr>
        <w:spacing w:line="440" w:lineRule="exact"/>
        <w:ind w:left="780" w:hanging="360"/>
        <w:jc w:val="left"/>
        <w:rPr>
          <w:rFonts w:ascii="宋体" w:hAnsi="宋体"/>
          <w:sz w:val="24"/>
        </w:rPr>
      </w:pPr>
      <w:r>
        <w:rPr>
          <w:rFonts w:ascii="宋体" w:hAnsi="宋体"/>
          <w:sz w:val="24"/>
        </w:rPr>
        <w:t>保证忠实地执行买卖双方所签订的合同，并承担合同规定的责任义务。</w:t>
      </w:r>
    </w:p>
    <w:p>
      <w:pPr>
        <w:widowControl/>
        <w:numPr>
          <w:ilvl w:val="0"/>
          <w:numId w:val="3"/>
        </w:numPr>
        <w:spacing w:line="440" w:lineRule="exact"/>
        <w:ind w:left="780" w:hanging="360"/>
        <w:jc w:val="left"/>
        <w:rPr>
          <w:rFonts w:ascii="宋体" w:hAnsi="宋体"/>
          <w:sz w:val="24"/>
        </w:rPr>
      </w:pPr>
      <w:r>
        <w:rPr>
          <w:rFonts w:ascii="宋体" w:hAnsi="宋体"/>
          <w:sz w:val="24"/>
        </w:rPr>
        <w:t>愿意向贵方提供任何与该项</w:t>
      </w:r>
      <w:r>
        <w:rPr>
          <w:rFonts w:hint="eastAsia" w:ascii="宋体" w:hAnsi="宋体"/>
          <w:bCs/>
          <w:sz w:val="24"/>
        </w:rPr>
        <w:t>邀</w:t>
      </w:r>
      <w:r>
        <w:rPr>
          <w:rFonts w:ascii="宋体" w:hAnsi="宋体"/>
          <w:sz w:val="24"/>
        </w:rPr>
        <w:t>标有关的数据、情况和技术资料。</w:t>
      </w:r>
    </w:p>
    <w:p>
      <w:pPr>
        <w:widowControl/>
        <w:numPr>
          <w:ilvl w:val="0"/>
          <w:numId w:val="3"/>
        </w:numPr>
        <w:spacing w:line="440" w:lineRule="exact"/>
        <w:ind w:left="780" w:hanging="360"/>
        <w:jc w:val="left"/>
        <w:rPr>
          <w:rFonts w:ascii="宋体" w:hAnsi="宋体"/>
          <w:sz w:val="24"/>
        </w:rPr>
      </w:pPr>
      <w:r>
        <w:rPr>
          <w:rFonts w:ascii="宋体" w:hAnsi="宋体"/>
          <w:sz w:val="24"/>
        </w:rPr>
        <w:t>我方已详细审查全部</w:t>
      </w:r>
      <w:r>
        <w:rPr>
          <w:rFonts w:hint="eastAsia" w:ascii="宋体" w:hAnsi="宋体"/>
          <w:bCs/>
          <w:sz w:val="24"/>
        </w:rPr>
        <w:t>邀</w:t>
      </w:r>
      <w:r>
        <w:rPr>
          <w:rFonts w:ascii="宋体" w:hAnsi="宋体"/>
          <w:sz w:val="24"/>
        </w:rPr>
        <w:t>标文件，包括修改意见（如有），以及全部参考资料和有关附件，完全理解并同意放弃对这方面有不明产生误解而要求</w:t>
      </w:r>
      <w:r>
        <w:rPr>
          <w:rFonts w:hint="eastAsia" w:ascii="宋体" w:hAnsi="宋体"/>
          <w:bCs/>
          <w:sz w:val="24"/>
        </w:rPr>
        <w:t>邀</w:t>
      </w:r>
      <w:r>
        <w:rPr>
          <w:rFonts w:ascii="宋体" w:hAnsi="宋体"/>
          <w:sz w:val="24"/>
        </w:rPr>
        <w:t>标人解释和承担责任的权利。</w:t>
      </w:r>
    </w:p>
    <w:p>
      <w:pPr>
        <w:widowControl/>
        <w:numPr>
          <w:ilvl w:val="0"/>
          <w:numId w:val="3"/>
        </w:numPr>
        <w:spacing w:line="440" w:lineRule="exact"/>
        <w:ind w:left="780" w:hanging="360"/>
        <w:jc w:val="left"/>
        <w:rPr>
          <w:rFonts w:ascii="宋体" w:hAnsi="宋体"/>
          <w:sz w:val="24"/>
        </w:rPr>
      </w:pPr>
      <w:r>
        <w:rPr>
          <w:rFonts w:ascii="宋体" w:hAnsi="宋体"/>
          <w:sz w:val="24"/>
        </w:rPr>
        <w:t>我们理解，</w:t>
      </w:r>
      <w:r>
        <w:rPr>
          <w:rFonts w:hint="eastAsia" w:ascii="宋体" w:hAnsi="宋体"/>
          <w:bCs/>
          <w:sz w:val="24"/>
        </w:rPr>
        <w:t>邀</w:t>
      </w:r>
      <w:r>
        <w:rPr>
          <w:rFonts w:ascii="宋体" w:hAnsi="宋体"/>
          <w:sz w:val="24"/>
        </w:rPr>
        <w:t>标人不一定接受最低报价的投标书或</w:t>
      </w:r>
      <w:r>
        <w:rPr>
          <w:rFonts w:hint="eastAsia" w:ascii="宋体" w:hAnsi="宋体"/>
          <w:bCs/>
          <w:sz w:val="24"/>
        </w:rPr>
        <w:t>邀</w:t>
      </w:r>
      <w:r>
        <w:rPr>
          <w:rFonts w:ascii="宋体" w:hAnsi="宋体"/>
          <w:sz w:val="24"/>
        </w:rPr>
        <w:t>标人接到的其他任何投标书。同时也理解，</w:t>
      </w:r>
      <w:r>
        <w:rPr>
          <w:rFonts w:hint="eastAsia" w:ascii="宋体" w:hAnsi="宋体"/>
          <w:bCs/>
          <w:sz w:val="24"/>
        </w:rPr>
        <w:t>邀</w:t>
      </w:r>
      <w:r>
        <w:rPr>
          <w:rFonts w:ascii="宋体" w:hAnsi="宋体"/>
          <w:sz w:val="24"/>
        </w:rPr>
        <w:t>标人不负担我们的任何投标费用。</w:t>
      </w:r>
    </w:p>
    <w:p>
      <w:pPr>
        <w:widowControl/>
        <w:numPr>
          <w:ilvl w:val="0"/>
          <w:numId w:val="3"/>
        </w:numPr>
        <w:spacing w:line="440" w:lineRule="exact"/>
        <w:ind w:left="780" w:hanging="360"/>
        <w:jc w:val="left"/>
        <w:rPr>
          <w:rFonts w:ascii="宋体" w:hAnsi="宋体"/>
          <w:sz w:val="24"/>
        </w:rPr>
      </w:pPr>
      <w:r>
        <w:rPr>
          <w:rFonts w:ascii="宋体" w:hAnsi="宋体"/>
          <w:sz w:val="24"/>
        </w:rPr>
        <w:t>本投标自开标之日起</w:t>
      </w:r>
      <w:r>
        <w:rPr>
          <w:rFonts w:hint="eastAsia" w:ascii="宋体" w:hAnsi="宋体"/>
          <w:sz w:val="24"/>
        </w:rPr>
        <w:t>9</w:t>
      </w:r>
      <w:r>
        <w:rPr>
          <w:rFonts w:ascii="宋体" w:hAnsi="宋体"/>
          <w:sz w:val="24"/>
        </w:rPr>
        <w:t>0天内有效。如果我们在投标书有效期内撤回投标书；或在接到中标通知书后未能或拒绝签订合同协议书；你单位有权另选中标单位。</w:t>
      </w:r>
    </w:p>
    <w:p>
      <w:pPr>
        <w:spacing w:line="440" w:lineRule="exact"/>
        <w:ind w:left="780"/>
        <w:rPr>
          <w:rFonts w:ascii="宋体" w:hAnsi="宋体"/>
          <w:sz w:val="24"/>
        </w:rPr>
      </w:pPr>
    </w:p>
    <w:p>
      <w:pPr>
        <w:spacing w:line="440" w:lineRule="exact"/>
        <w:ind w:firstLine="420"/>
        <w:rPr>
          <w:rFonts w:ascii="宋体" w:hAnsi="宋体"/>
          <w:sz w:val="24"/>
        </w:rPr>
      </w:pPr>
      <w:r>
        <w:rPr>
          <w:rFonts w:ascii="宋体" w:hAnsi="宋体"/>
          <w:sz w:val="24"/>
        </w:rPr>
        <w:t>投标人（盖单位公章）：</w:t>
      </w:r>
      <w:r>
        <w:rPr>
          <w:rFonts w:ascii="宋体" w:hAnsi="宋体"/>
          <w:sz w:val="24"/>
          <w:u w:val="single"/>
        </w:rPr>
        <w:t>　　</w:t>
      </w:r>
    </w:p>
    <w:p>
      <w:pPr>
        <w:spacing w:line="440" w:lineRule="exact"/>
        <w:ind w:firstLine="420"/>
        <w:rPr>
          <w:rFonts w:ascii="宋体" w:hAnsi="宋体"/>
          <w:sz w:val="24"/>
        </w:rPr>
      </w:pPr>
      <w:r>
        <w:rPr>
          <w:rFonts w:ascii="宋体" w:hAnsi="宋体"/>
          <w:sz w:val="24"/>
        </w:rPr>
        <w:t>法定代表人：</w:t>
      </w:r>
    </w:p>
    <w:p>
      <w:pPr>
        <w:spacing w:line="440" w:lineRule="exact"/>
        <w:ind w:firstLine="420"/>
        <w:rPr>
          <w:rFonts w:ascii="宋体" w:hAnsi="宋体"/>
          <w:sz w:val="24"/>
        </w:rPr>
      </w:pPr>
      <w:r>
        <w:rPr>
          <w:rFonts w:ascii="宋体" w:hAnsi="宋体"/>
          <w:sz w:val="24"/>
        </w:rPr>
        <w:t>或委托代理人（签字）：</w:t>
      </w:r>
      <w:r>
        <w:rPr>
          <w:rFonts w:ascii="宋体" w:hAnsi="宋体"/>
          <w:sz w:val="24"/>
          <w:u w:val="single"/>
        </w:rPr>
        <w:t>　　　　　　　　　　      　</w:t>
      </w:r>
    </w:p>
    <w:p>
      <w:pPr>
        <w:spacing w:line="440" w:lineRule="exact"/>
        <w:ind w:firstLine="420"/>
        <w:rPr>
          <w:rFonts w:ascii="宋体" w:hAnsi="宋体"/>
          <w:b/>
          <w:sz w:val="24"/>
        </w:rPr>
      </w:pPr>
      <w:r>
        <w:rPr>
          <w:rFonts w:ascii="宋体" w:hAnsi="宋体"/>
          <w:sz w:val="24"/>
        </w:rPr>
        <w:t>日期：</w:t>
      </w:r>
    </w:p>
    <w:p>
      <w:pPr>
        <w:spacing w:line="440" w:lineRule="exact"/>
        <w:ind w:firstLine="360"/>
        <w:rPr>
          <w:rFonts w:ascii="宋体" w:hAnsi="宋体"/>
          <w:sz w:val="24"/>
        </w:rPr>
      </w:pPr>
      <w:r>
        <w:rPr>
          <w:rFonts w:ascii="宋体" w:hAnsi="宋体"/>
          <w:sz w:val="24"/>
        </w:rPr>
        <w:t>地址：</w:t>
      </w:r>
      <w:r>
        <w:rPr>
          <w:rFonts w:ascii="宋体" w:hAnsi="宋体"/>
          <w:sz w:val="24"/>
          <w:u w:val="single"/>
        </w:rPr>
        <w:t>　　</w:t>
      </w:r>
      <w:r>
        <w:rPr>
          <w:rFonts w:ascii="宋体" w:hAnsi="宋体"/>
          <w:sz w:val="24"/>
        </w:rPr>
        <w:t>邮编：</w:t>
      </w:r>
    </w:p>
    <w:p>
      <w:pPr>
        <w:spacing w:line="440" w:lineRule="exact"/>
        <w:ind w:firstLine="360"/>
        <w:rPr>
          <w:rFonts w:ascii="宋体" w:hAnsi="宋体"/>
          <w:sz w:val="24"/>
        </w:rPr>
      </w:pPr>
      <w:r>
        <w:rPr>
          <w:rFonts w:ascii="宋体" w:hAnsi="宋体"/>
          <w:sz w:val="24"/>
        </w:rPr>
        <w:t>电话：</w:t>
      </w:r>
    </w:p>
    <w:p>
      <w:pPr>
        <w:spacing w:line="440" w:lineRule="exact"/>
        <w:ind w:firstLine="360"/>
        <w:rPr>
          <w:rFonts w:ascii="宋体" w:hAnsi="宋体"/>
          <w:sz w:val="24"/>
          <w:u w:val="single"/>
        </w:rPr>
      </w:pPr>
      <w:r>
        <w:rPr>
          <w:rFonts w:ascii="宋体" w:hAnsi="宋体"/>
          <w:sz w:val="24"/>
        </w:rPr>
        <w:t>传真：</w:t>
      </w:r>
      <w:r>
        <w:br w:type="page"/>
      </w:r>
    </w:p>
    <w:p>
      <w:pPr>
        <w:jc w:val="center"/>
        <w:rPr>
          <w:rFonts w:ascii="宋体" w:hAnsi="宋体"/>
        </w:rPr>
      </w:pPr>
      <w:bookmarkStart w:id="83" w:name="_Toc260993194"/>
      <w:bookmarkEnd w:id="83"/>
      <w:r>
        <w:rPr>
          <w:b/>
          <w:sz w:val="28"/>
          <w:szCs w:val="28"/>
        </w:rPr>
        <w:t>2、投标人承诺函</w:t>
      </w:r>
    </w:p>
    <w:p>
      <w:pPr>
        <w:spacing w:line="360" w:lineRule="auto"/>
        <w:rPr>
          <w:rFonts w:ascii="宋体" w:hAnsi="宋体"/>
          <w:sz w:val="24"/>
          <w:szCs w:val="21"/>
          <w:u w:val="single"/>
        </w:rPr>
      </w:pPr>
      <w:r>
        <w:rPr>
          <w:rFonts w:hint="eastAsia" w:ascii="宋体" w:hAnsi="宋体"/>
          <w:sz w:val="24"/>
          <w:szCs w:val="21"/>
        </w:rPr>
        <w:t>项目名称</w:t>
      </w:r>
      <w:r>
        <w:rPr>
          <w:rFonts w:ascii="宋体" w:hAnsi="宋体"/>
          <w:sz w:val="24"/>
          <w:szCs w:val="21"/>
        </w:rPr>
        <w:t>：</w:t>
      </w:r>
    </w:p>
    <w:p>
      <w:pPr>
        <w:spacing w:line="360" w:lineRule="auto"/>
        <w:rPr>
          <w:rFonts w:ascii="宋体" w:hAnsi="宋体"/>
          <w:sz w:val="24"/>
          <w:szCs w:val="21"/>
          <w:u w:val="single"/>
        </w:rPr>
      </w:pPr>
      <w:r>
        <w:rPr>
          <w:rFonts w:hint="eastAsia" w:ascii="宋体" w:hAnsi="宋体"/>
          <w:bCs/>
          <w:sz w:val="24"/>
          <w:lang w:eastAsia="zh-CN"/>
        </w:rPr>
        <w:t>招标项目编号</w:t>
      </w:r>
      <w:r>
        <w:rPr>
          <w:rFonts w:ascii="宋体" w:hAnsi="宋体"/>
          <w:sz w:val="24"/>
          <w:szCs w:val="21"/>
        </w:rPr>
        <w:t>：</w:t>
      </w:r>
      <w:r>
        <w:rPr>
          <w:rFonts w:ascii="宋体" w:hAnsi="宋体"/>
          <w:sz w:val="24"/>
          <w:szCs w:val="21"/>
          <w:u w:val="single"/>
        </w:rPr>
        <w:t>_</w:t>
      </w:r>
    </w:p>
    <w:p>
      <w:pPr>
        <w:spacing w:line="360" w:lineRule="auto"/>
        <w:rPr>
          <w:rFonts w:ascii="宋体" w:hAnsi="宋体"/>
          <w:sz w:val="24"/>
          <w:szCs w:val="21"/>
        </w:rPr>
      </w:pPr>
    </w:p>
    <w:p>
      <w:pPr>
        <w:spacing w:line="440" w:lineRule="exact"/>
        <w:rPr>
          <w:rFonts w:ascii="宋体" w:hAnsi="宋体"/>
          <w:sz w:val="24"/>
        </w:rPr>
      </w:pPr>
      <w:r>
        <w:rPr>
          <w:rFonts w:hint="eastAsia" w:ascii="宋体" w:hAnsi="宋体"/>
          <w:sz w:val="24"/>
        </w:rPr>
        <w:t>致：</w:t>
      </w:r>
      <w:r>
        <w:rPr>
          <w:rFonts w:hint="eastAsia" w:ascii="宋体" w:hAnsi="宋体"/>
          <w:sz w:val="24"/>
          <w:lang w:eastAsia="zh-CN"/>
        </w:rPr>
        <w:t>广州电缆厂有限公司</w:t>
      </w:r>
    </w:p>
    <w:p>
      <w:pPr>
        <w:spacing w:line="360" w:lineRule="auto"/>
        <w:rPr>
          <w:rFonts w:ascii="宋体" w:hAnsi="宋体"/>
          <w:sz w:val="24"/>
          <w:szCs w:val="21"/>
        </w:rPr>
      </w:pPr>
      <w:r>
        <w:rPr>
          <w:rFonts w:ascii="宋体" w:hAnsi="宋体"/>
          <w:sz w:val="24"/>
          <w:szCs w:val="21"/>
        </w:rPr>
        <w:t xml:space="preserve">    我代表在此作如下承诺：</w:t>
      </w:r>
    </w:p>
    <w:p>
      <w:pPr>
        <w:widowControl/>
        <w:numPr>
          <w:ilvl w:val="0"/>
          <w:numId w:val="4"/>
        </w:numPr>
        <w:spacing w:line="360" w:lineRule="auto"/>
        <w:ind w:left="810" w:hanging="375"/>
        <w:jc w:val="left"/>
        <w:rPr>
          <w:rFonts w:ascii="宋体" w:hAnsi="宋体"/>
          <w:sz w:val="24"/>
          <w:szCs w:val="21"/>
        </w:rPr>
      </w:pPr>
      <w:r>
        <w:rPr>
          <w:rFonts w:ascii="宋体" w:hAnsi="宋体"/>
          <w:sz w:val="24"/>
          <w:szCs w:val="21"/>
        </w:rPr>
        <w:t>完全理解和接受</w:t>
      </w:r>
      <w:r>
        <w:rPr>
          <w:rFonts w:hint="eastAsia" w:ascii="宋体" w:hAnsi="宋体"/>
          <w:sz w:val="24"/>
          <w:szCs w:val="21"/>
        </w:rPr>
        <w:t>邀</w:t>
      </w:r>
      <w:r>
        <w:rPr>
          <w:rFonts w:ascii="宋体" w:hAnsi="宋体"/>
          <w:sz w:val="24"/>
          <w:szCs w:val="21"/>
        </w:rPr>
        <w:t>标文件的一切规定和要求。</w:t>
      </w:r>
    </w:p>
    <w:p>
      <w:pPr>
        <w:widowControl/>
        <w:numPr>
          <w:ilvl w:val="0"/>
          <w:numId w:val="4"/>
        </w:numPr>
        <w:spacing w:line="360" w:lineRule="auto"/>
        <w:ind w:left="810" w:hanging="375"/>
        <w:jc w:val="left"/>
        <w:rPr>
          <w:rFonts w:ascii="宋体" w:hAnsi="宋体"/>
          <w:sz w:val="24"/>
          <w:szCs w:val="21"/>
        </w:rPr>
      </w:pPr>
      <w:r>
        <w:rPr>
          <w:rFonts w:ascii="宋体" w:hAnsi="宋体"/>
          <w:sz w:val="24"/>
          <w:szCs w:val="21"/>
        </w:rPr>
        <w:t>若中标，我方将按照</w:t>
      </w:r>
      <w:r>
        <w:rPr>
          <w:rFonts w:hint="eastAsia" w:ascii="宋体" w:hAnsi="宋体"/>
          <w:bCs/>
          <w:sz w:val="24"/>
        </w:rPr>
        <w:t>邀标</w:t>
      </w:r>
      <w:r>
        <w:rPr>
          <w:rFonts w:ascii="宋体" w:hAnsi="宋体"/>
          <w:sz w:val="24"/>
          <w:szCs w:val="21"/>
        </w:rPr>
        <w:t>文件的具体规定与项目法人</w:t>
      </w:r>
      <w:r>
        <w:rPr>
          <w:rFonts w:hint="eastAsia" w:ascii="宋体" w:hAnsi="宋体"/>
          <w:sz w:val="24"/>
          <w:szCs w:val="21"/>
        </w:rPr>
        <w:t>或其授权人</w:t>
      </w:r>
      <w:r>
        <w:rPr>
          <w:rFonts w:ascii="宋体" w:hAnsi="宋体"/>
          <w:sz w:val="24"/>
          <w:szCs w:val="21"/>
        </w:rPr>
        <w:t>签订经济合同，并且严格履行合同义务，按时交货，为工程提供优质的货物和服务。如果在合同执行过程中，发现合同货物质量问题，我方一定尽快修理更换/退货，并承担相应的经济责任。</w:t>
      </w:r>
    </w:p>
    <w:p>
      <w:pPr>
        <w:widowControl/>
        <w:numPr>
          <w:ilvl w:val="0"/>
          <w:numId w:val="4"/>
        </w:numPr>
        <w:spacing w:line="360" w:lineRule="auto"/>
        <w:ind w:left="810" w:hanging="375"/>
        <w:jc w:val="left"/>
        <w:rPr>
          <w:rFonts w:ascii="宋体" w:hAnsi="宋体"/>
          <w:sz w:val="24"/>
          <w:szCs w:val="21"/>
        </w:rPr>
      </w:pPr>
      <w:r>
        <w:rPr>
          <w:rFonts w:ascii="宋体" w:hAnsi="宋体"/>
          <w:sz w:val="24"/>
          <w:szCs w:val="21"/>
        </w:rPr>
        <w:t>在整个</w:t>
      </w:r>
      <w:r>
        <w:rPr>
          <w:rFonts w:hint="eastAsia" w:ascii="宋体" w:hAnsi="宋体"/>
          <w:bCs/>
          <w:sz w:val="24"/>
        </w:rPr>
        <w:t>投标</w:t>
      </w:r>
      <w:r>
        <w:rPr>
          <w:rFonts w:ascii="宋体" w:hAnsi="宋体"/>
          <w:sz w:val="24"/>
          <w:szCs w:val="21"/>
        </w:rPr>
        <w:t>过程中，我方若有违规行为，贵方可按</w:t>
      </w:r>
      <w:r>
        <w:rPr>
          <w:rFonts w:hint="eastAsia" w:ascii="宋体" w:hAnsi="宋体"/>
          <w:bCs/>
          <w:sz w:val="24"/>
        </w:rPr>
        <w:t>邀标</w:t>
      </w:r>
      <w:r>
        <w:rPr>
          <w:rFonts w:ascii="宋体" w:hAnsi="宋体"/>
          <w:sz w:val="24"/>
          <w:szCs w:val="21"/>
        </w:rPr>
        <w:t>文件之规定给予惩罚，我方完全接受。</w:t>
      </w:r>
    </w:p>
    <w:p>
      <w:pPr>
        <w:widowControl/>
        <w:numPr>
          <w:ilvl w:val="0"/>
          <w:numId w:val="4"/>
        </w:numPr>
        <w:spacing w:line="360" w:lineRule="auto"/>
        <w:ind w:left="810" w:hanging="375"/>
        <w:jc w:val="left"/>
        <w:rPr>
          <w:rFonts w:ascii="宋体" w:hAnsi="宋体"/>
          <w:sz w:val="24"/>
          <w:szCs w:val="21"/>
        </w:rPr>
      </w:pPr>
      <w:r>
        <w:rPr>
          <w:rFonts w:ascii="宋体" w:hAnsi="宋体"/>
          <w:sz w:val="24"/>
          <w:szCs w:val="21"/>
        </w:rPr>
        <w:t>若中标，本承诺函将成为合同不可分割的一部分，与合同具有同等的法律效力。</w:t>
      </w:r>
    </w:p>
    <w:p>
      <w:pPr>
        <w:spacing w:line="360" w:lineRule="auto"/>
        <w:rPr>
          <w:rFonts w:ascii="宋体" w:hAnsi="宋体"/>
          <w:sz w:val="24"/>
          <w:szCs w:val="21"/>
        </w:rPr>
      </w:pPr>
    </w:p>
    <w:p>
      <w:pPr>
        <w:spacing w:line="360" w:lineRule="auto"/>
        <w:ind w:firstLine="480"/>
        <w:rPr>
          <w:rFonts w:ascii="宋体" w:hAnsi="宋体"/>
          <w:sz w:val="24"/>
          <w:u w:val="single"/>
        </w:rPr>
      </w:pPr>
      <w:r>
        <w:rPr>
          <w:rFonts w:ascii="宋体" w:hAnsi="宋体"/>
          <w:sz w:val="24"/>
        </w:rPr>
        <w:t>投标人（盖单位公章）：</w:t>
      </w:r>
      <w:r>
        <w:rPr>
          <w:rFonts w:ascii="宋体" w:hAnsi="宋体"/>
          <w:sz w:val="24"/>
          <w:u w:val="single"/>
        </w:rPr>
        <w:t>　　</w:t>
      </w:r>
    </w:p>
    <w:p>
      <w:pPr>
        <w:spacing w:line="360" w:lineRule="auto"/>
        <w:ind w:firstLine="480"/>
        <w:rPr>
          <w:rFonts w:ascii="宋体" w:hAnsi="宋体"/>
          <w:sz w:val="24"/>
        </w:rPr>
      </w:pPr>
      <w:r>
        <w:rPr>
          <w:rFonts w:ascii="宋体" w:hAnsi="宋体"/>
          <w:sz w:val="24"/>
        </w:rPr>
        <w:t>法定代表人：</w:t>
      </w:r>
    </w:p>
    <w:p>
      <w:pPr>
        <w:spacing w:line="360" w:lineRule="auto"/>
        <w:ind w:firstLine="480"/>
        <w:rPr>
          <w:rFonts w:ascii="宋体" w:hAnsi="宋体"/>
          <w:sz w:val="24"/>
        </w:rPr>
      </w:pPr>
      <w:r>
        <w:rPr>
          <w:rFonts w:ascii="宋体" w:hAnsi="宋体"/>
          <w:sz w:val="24"/>
        </w:rPr>
        <w:t>或委托代理人（签字）：</w:t>
      </w:r>
      <w:r>
        <w:rPr>
          <w:rFonts w:ascii="宋体" w:hAnsi="宋体"/>
          <w:sz w:val="24"/>
          <w:u w:val="single"/>
        </w:rPr>
        <w:t>　　　　　　　　　　　　　　</w:t>
      </w:r>
    </w:p>
    <w:p>
      <w:pPr>
        <w:spacing w:line="360" w:lineRule="auto"/>
        <w:ind w:firstLine="480"/>
        <w:rPr>
          <w:rFonts w:ascii="宋体" w:hAnsi="宋体"/>
          <w:sz w:val="22"/>
          <w:u w:val="single"/>
        </w:rPr>
      </w:pPr>
      <w:r>
        <w:rPr>
          <w:rFonts w:ascii="宋体" w:hAnsi="宋体"/>
          <w:sz w:val="24"/>
        </w:rPr>
        <w:t>日期：</w:t>
      </w:r>
      <w:r>
        <w:rPr>
          <w:rFonts w:ascii="宋体" w:hAnsi="宋体"/>
          <w:sz w:val="24"/>
          <w:u w:val="single"/>
        </w:rPr>
        <w:t>　</w:t>
      </w:r>
      <w:r>
        <w:rPr>
          <w:rFonts w:ascii="宋体" w:hAnsi="宋体"/>
          <w:sz w:val="22"/>
          <w:u w:val="single"/>
        </w:rPr>
        <w:t>　</w:t>
      </w:r>
      <w:r>
        <w:br w:type="page"/>
      </w:r>
    </w:p>
    <w:p>
      <w:pPr>
        <w:jc w:val="center"/>
        <w:rPr>
          <w:rFonts w:ascii="宋体" w:hAnsi="宋体"/>
          <w:sz w:val="24"/>
        </w:rPr>
      </w:pPr>
      <w:bookmarkStart w:id="84" w:name="_Toc263773418"/>
      <w:bookmarkEnd w:id="84"/>
      <w:bookmarkStart w:id="85" w:name="_Toc260993195"/>
      <w:bookmarkEnd w:id="85"/>
      <w:r>
        <w:rPr>
          <w:b/>
          <w:sz w:val="28"/>
          <w:szCs w:val="28"/>
        </w:rPr>
        <w:t>3、 投标人关于资格的声明函</w:t>
      </w:r>
    </w:p>
    <w:p>
      <w:pPr>
        <w:spacing w:line="360" w:lineRule="auto"/>
        <w:rPr>
          <w:rFonts w:ascii="宋体" w:hAnsi="宋体"/>
          <w:sz w:val="24"/>
          <w:szCs w:val="21"/>
          <w:u w:val="single"/>
        </w:rPr>
      </w:pPr>
      <w:r>
        <w:rPr>
          <w:rFonts w:hint="eastAsia" w:ascii="宋体" w:hAnsi="宋体"/>
          <w:sz w:val="24"/>
          <w:szCs w:val="21"/>
        </w:rPr>
        <w:t>项目名称</w:t>
      </w:r>
      <w:r>
        <w:rPr>
          <w:rFonts w:ascii="宋体" w:hAnsi="宋体"/>
          <w:sz w:val="24"/>
          <w:szCs w:val="21"/>
        </w:rPr>
        <w:t>：</w:t>
      </w:r>
    </w:p>
    <w:p>
      <w:pPr>
        <w:spacing w:line="360" w:lineRule="auto"/>
        <w:rPr>
          <w:rFonts w:ascii="宋体" w:hAnsi="宋体"/>
          <w:sz w:val="24"/>
          <w:szCs w:val="21"/>
          <w:u w:val="single"/>
        </w:rPr>
      </w:pPr>
      <w:r>
        <w:rPr>
          <w:rFonts w:hint="eastAsia" w:ascii="宋体" w:hAnsi="宋体"/>
          <w:bCs/>
          <w:sz w:val="24"/>
          <w:lang w:eastAsia="zh-CN"/>
        </w:rPr>
        <w:t>招标项目编号</w:t>
      </w:r>
      <w:r>
        <w:rPr>
          <w:rFonts w:ascii="宋体" w:hAnsi="宋体"/>
          <w:sz w:val="24"/>
          <w:szCs w:val="21"/>
        </w:rPr>
        <w:t>：</w:t>
      </w:r>
      <w:r>
        <w:rPr>
          <w:rFonts w:ascii="宋体" w:hAnsi="宋体"/>
          <w:sz w:val="24"/>
          <w:szCs w:val="21"/>
          <w:u w:val="single"/>
        </w:rPr>
        <w:t>___</w:t>
      </w:r>
    </w:p>
    <w:p>
      <w:pPr>
        <w:spacing w:line="440" w:lineRule="exact"/>
        <w:rPr>
          <w:rFonts w:ascii="宋体" w:hAnsi="宋体"/>
          <w:sz w:val="24"/>
        </w:rPr>
      </w:pPr>
      <w:r>
        <w:rPr>
          <w:rFonts w:hint="eastAsia" w:ascii="宋体" w:hAnsi="宋体"/>
          <w:sz w:val="24"/>
        </w:rPr>
        <w:t>致：</w:t>
      </w:r>
    </w:p>
    <w:p>
      <w:pPr>
        <w:spacing w:line="360" w:lineRule="auto"/>
        <w:ind w:left="13" w:firstLine="480"/>
        <w:rPr>
          <w:rFonts w:ascii="宋体" w:hAnsi="宋体"/>
          <w:sz w:val="24"/>
          <w:szCs w:val="21"/>
        </w:rPr>
      </w:pPr>
      <w:r>
        <w:rPr>
          <w:rFonts w:ascii="宋体" w:hAnsi="宋体"/>
          <w:sz w:val="24"/>
          <w:szCs w:val="21"/>
        </w:rPr>
        <w:t>我公司愿意针对上述项目进行投标。投标文件中所有关于投标人资格的文件、证明、陈述均是真实的、准确的。若有违背，我公司承当由此而产生的一切后果。</w:t>
      </w:r>
    </w:p>
    <w:p>
      <w:pPr>
        <w:spacing w:line="360" w:lineRule="auto"/>
        <w:ind w:left="13" w:firstLine="480"/>
        <w:rPr>
          <w:rFonts w:ascii="宋体" w:hAnsi="宋体"/>
          <w:sz w:val="24"/>
          <w:szCs w:val="21"/>
        </w:rPr>
      </w:pPr>
      <w:r>
        <w:rPr>
          <w:rFonts w:ascii="宋体" w:hAnsi="宋体"/>
          <w:sz w:val="24"/>
          <w:szCs w:val="21"/>
        </w:rPr>
        <w:t>特此声明！</w:t>
      </w:r>
    </w:p>
    <w:p>
      <w:pPr>
        <w:spacing w:line="360" w:lineRule="auto"/>
        <w:ind w:left="12"/>
        <w:rPr>
          <w:rFonts w:ascii="宋体" w:hAnsi="宋体"/>
          <w:bCs/>
          <w:sz w:val="24"/>
        </w:rPr>
      </w:pPr>
    </w:p>
    <w:p>
      <w:pPr>
        <w:spacing w:line="360" w:lineRule="auto"/>
        <w:ind w:left="12"/>
        <w:rPr>
          <w:rFonts w:ascii="宋体" w:hAnsi="宋体"/>
          <w:bCs/>
          <w:sz w:val="24"/>
        </w:rPr>
      </w:pPr>
    </w:p>
    <w:p>
      <w:pPr>
        <w:spacing w:line="360" w:lineRule="auto"/>
        <w:rPr>
          <w:rFonts w:ascii="宋体" w:hAnsi="宋体"/>
          <w:sz w:val="24"/>
        </w:rPr>
      </w:pPr>
      <w:r>
        <w:rPr>
          <w:rFonts w:ascii="宋体" w:hAnsi="宋体"/>
          <w:sz w:val="24"/>
        </w:rPr>
        <w:t>投标人（盖单位公章）：</w:t>
      </w:r>
    </w:p>
    <w:p>
      <w:pPr>
        <w:spacing w:line="360" w:lineRule="auto"/>
        <w:rPr>
          <w:rFonts w:ascii="宋体" w:hAnsi="宋体"/>
          <w:sz w:val="24"/>
        </w:rPr>
      </w:pPr>
      <w:r>
        <w:rPr>
          <w:rFonts w:ascii="宋体" w:hAnsi="宋体"/>
          <w:sz w:val="24"/>
        </w:rPr>
        <w:t>法定代表人：</w:t>
      </w:r>
    </w:p>
    <w:p>
      <w:pPr>
        <w:spacing w:line="360" w:lineRule="auto"/>
        <w:rPr>
          <w:rFonts w:ascii="宋体" w:hAnsi="宋体"/>
          <w:sz w:val="24"/>
        </w:rPr>
      </w:pPr>
      <w:r>
        <w:rPr>
          <w:rFonts w:ascii="宋体" w:hAnsi="宋体"/>
          <w:sz w:val="24"/>
        </w:rPr>
        <w:t>或委托代理人（签字）：</w:t>
      </w:r>
    </w:p>
    <w:p>
      <w:pPr>
        <w:spacing w:line="360" w:lineRule="auto"/>
        <w:ind w:left="12"/>
        <w:rPr>
          <w:rFonts w:ascii="宋体" w:hAnsi="宋体"/>
          <w:sz w:val="24"/>
        </w:rPr>
      </w:pPr>
    </w:p>
    <w:p>
      <w:pPr>
        <w:spacing w:line="360" w:lineRule="auto"/>
        <w:ind w:left="12"/>
        <w:rPr>
          <w:rFonts w:ascii="宋体" w:hAnsi="宋体"/>
          <w:sz w:val="24"/>
          <w:u w:val="single"/>
        </w:rPr>
      </w:pPr>
      <w:r>
        <w:rPr>
          <w:rFonts w:ascii="宋体" w:hAnsi="宋体"/>
          <w:sz w:val="24"/>
        </w:rPr>
        <w:t>日期：</w:t>
      </w:r>
    </w:p>
    <w:p>
      <w:pPr>
        <w:spacing w:line="360" w:lineRule="auto"/>
        <w:rPr>
          <w:rFonts w:ascii="宋体" w:hAnsi="宋体"/>
          <w:bCs/>
        </w:rPr>
      </w:pPr>
    </w:p>
    <w:p>
      <w:pPr>
        <w:sectPr>
          <w:headerReference r:id="rId11" w:type="default"/>
          <w:footerReference r:id="rId12" w:type="default"/>
          <w:endnotePr>
            <w:numFmt w:val="decimal"/>
          </w:endnotePr>
          <w:pgSz w:w="11906" w:h="16838"/>
          <w:pgMar w:top="1418" w:right="1418" w:bottom="1418" w:left="1418" w:header="851" w:footer="992" w:gutter="0"/>
          <w:cols w:space="720" w:num="1"/>
        </w:sectPr>
      </w:pPr>
    </w:p>
    <w:p>
      <w:pPr>
        <w:jc w:val="center"/>
        <w:rPr>
          <w:b/>
          <w:sz w:val="28"/>
          <w:szCs w:val="28"/>
        </w:rPr>
      </w:pPr>
      <w:bookmarkStart w:id="86" w:name="_Toc263773419"/>
      <w:bookmarkEnd w:id="86"/>
      <w:r>
        <w:rPr>
          <w:b/>
          <w:sz w:val="28"/>
          <w:szCs w:val="28"/>
        </w:rPr>
        <w:t>4、开标一览表</w:t>
      </w:r>
    </w:p>
    <w:p>
      <w:pPr>
        <w:jc w:val="center"/>
        <w:rPr>
          <w:rFonts w:ascii="宋体" w:hAnsi="宋体"/>
          <w:sz w:val="28"/>
          <w:szCs w:val="28"/>
        </w:rPr>
      </w:pPr>
      <w:r>
        <w:rPr>
          <w:rFonts w:hint="eastAsia" w:ascii="宋体" w:hAnsi="宋体"/>
          <w:sz w:val="28"/>
          <w:szCs w:val="28"/>
        </w:rPr>
        <w:t>4-1.报价汇总表</w:t>
      </w:r>
    </w:p>
    <w:p>
      <w:pPr>
        <w:ind w:firstLine="5670"/>
        <w:jc w:val="left"/>
        <w:rPr>
          <w:rFonts w:ascii="宋体" w:hAnsi="宋体" w:cs="Arial"/>
        </w:rPr>
      </w:pPr>
      <w:r>
        <w:rPr>
          <w:rFonts w:hint="eastAsia" w:ascii="宋体" w:hAnsi="宋体" w:cs="Arial"/>
          <w:u w:val="single"/>
          <w:lang w:eastAsia="zh-CN"/>
        </w:rPr>
        <w:t>招标项目编号</w:t>
      </w:r>
      <w:r>
        <w:rPr>
          <w:rFonts w:hint="eastAsia" w:ascii="宋体" w:hAnsi="宋体" w:cs="Arial"/>
          <w:u w:val="single"/>
        </w:rPr>
        <w:t>：</w:t>
      </w:r>
      <w:r>
        <w:rPr>
          <w:rFonts w:hint="eastAsia" w:ascii="宋体" w:hAnsi="宋体" w:cs="Arial"/>
          <w:u w:val="single"/>
          <w:lang w:val="en-US" w:eastAsia="zh-CN"/>
        </w:rPr>
        <w:t>GL2021092801</w:t>
      </w:r>
      <w:r>
        <w:rPr>
          <w:rFonts w:ascii="宋体" w:hAnsi="宋体"/>
          <w:b/>
          <w:sz w:val="24"/>
        </w:rPr>
        <w:t xml:space="preserve"> </w:t>
      </w:r>
    </w:p>
    <w:tbl>
      <w:tblPr>
        <w:tblStyle w:val="42"/>
        <w:tblW w:w="9747" w:type="dxa"/>
        <w:tblInd w:w="98" w:type="dxa"/>
        <w:tblLayout w:type="fixed"/>
        <w:tblCellMar>
          <w:top w:w="0" w:type="dxa"/>
          <w:left w:w="10" w:type="dxa"/>
          <w:bottom w:w="0" w:type="dxa"/>
          <w:right w:w="10" w:type="dxa"/>
        </w:tblCellMar>
      </w:tblPr>
      <w:tblGrid>
        <w:gridCol w:w="2694"/>
        <w:gridCol w:w="2442"/>
        <w:gridCol w:w="877"/>
        <w:gridCol w:w="3734"/>
      </w:tblGrid>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ascii="宋体" w:hAnsi="宋体" w:cs="宋体"/>
                <w:sz w:val="24"/>
              </w:rPr>
              <w:t>项目名称</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设备名称</w:t>
            </w:r>
          </w:p>
        </w:tc>
        <w:tc>
          <w:tcPr>
            <w:tcW w:w="244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c>
          <w:tcPr>
            <w:tcW w:w="8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r>
              <w:rPr>
                <w:rFonts w:hint="eastAsia" w:ascii="宋体" w:hAnsi="宋体" w:cs="宋体"/>
                <w:sz w:val="24"/>
              </w:rPr>
              <w:t>规格型号</w:t>
            </w:r>
          </w:p>
        </w:tc>
        <w:tc>
          <w:tcPr>
            <w:tcW w:w="37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591"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数量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制造商</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95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投标总报价（元）</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（小写）：</w:t>
            </w:r>
          </w:p>
          <w:p>
            <w:pPr>
              <w:jc w:val="left"/>
              <w:rPr>
                <w:rFonts w:ascii="宋体" w:hAnsi="宋体" w:cs="宋体"/>
                <w:sz w:val="24"/>
              </w:rPr>
            </w:pPr>
            <w:r>
              <w:rPr>
                <w:rFonts w:hint="eastAsia" w:ascii="宋体" w:hAnsi="宋体" w:cs="宋体"/>
                <w:sz w:val="24"/>
              </w:rPr>
              <w:t>（大写）：</w:t>
            </w: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交货地点：</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黑体" w:hAnsi="黑体" w:eastAsia="黑体" w:cs="宋体"/>
                <w:sz w:val="24"/>
                <w:shd w:val="clear" w:color="auto" w:fill="FFFF00"/>
              </w:rPr>
            </w:pPr>
            <w:r>
              <w:rPr>
                <w:rFonts w:hint="eastAsia" w:ascii="黑体" w:hAnsi="黑体" w:eastAsia="黑体" w:cs="宋体"/>
                <w:sz w:val="24"/>
              </w:rPr>
              <w:t>付款方式：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Arial" w:hAnsi="Arial" w:cs="Arial"/>
                <w:sz w:val="24"/>
                <w:shd w:val="clear" w:color="auto" w:fill="FFFF00"/>
              </w:rPr>
            </w:pPr>
          </w:p>
        </w:tc>
      </w:tr>
      <w:tr>
        <w:tblPrEx>
          <w:tblLayout w:type="fixed"/>
          <w:tblCellMar>
            <w:top w:w="0" w:type="dxa"/>
            <w:left w:w="10" w:type="dxa"/>
            <w:bottom w:w="0" w:type="dxa"/>
            <w:right w:w="10" w:type="dxa"/>
          </w:tblCellMar>
        </w:tblPrEx>
        <w:trPr>
          <w:trHeight w:val="892"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投标有效期：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r>
              <w:rPr>
                <w:rFonts w:hint="eastAsia" w:ascii="宋体" w:hAnsi="宋体" w:cs="Arial"/>
                <w:sz w:val="24"/>
              </w:rPr>
              <w:t>90天</w:t>
            </w: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其他说明：</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p>
        </w:tc>
      </w:tr>
      <w:tr>
        <w:tblPrEx>
          <w:tblLayout w:type="fixed"/>
          <w:tblCellMar>
            <w:top w:w="0" w:type="dxa"/>
            <w:left w:w="10" w:type="dxa"/>
            <w:bottom w:w="0" w:type="dxa"/>
            <w:right w:w="10" w:type="dxa"/>
          </w:tblCellMar>
        </w:tblPrEx>
        <w:trPr>
          <w:cantSplit/>
          <w:trHeight w:val="772"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投标单位：　　　　　　　　　　　    　　法人授权代表：</w:t>
            </w:r>
          </w:p>
        </w:tc>
      </w:tr>
      <w:tr>
        <w:tblPrEx>
          <w:tblLayout w:type="fixed"/>
          <w:tblCellMar>
            <w:top w:w="0" w:type="dxa"/>
            <w:left w:w="10" w:type="dxa"/>
            <w:bottom w:w="0" w:type="dxa"/>
            <w:right w:w="10" w:type="dxa"/>
          </w:tblCellMar>
        </w:tblPrEx>
        <w:trPr>
          <w:cantSplit/>
          <w:trHeight w:val="418"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（公章）　　　　    　　　　　　　　　　 （签 章）</w:t>
            </w:r>
          </w:p>
        </w:tc>
      </w:tr>
      <w:tr>
        <w:tblPrEx>
          <w:tblLayout w:type="fixed"/>
          <w:tblCellMar>
            <w:top w:w="0" w:type="dxa"/>
            <w:left w:w="10" w:type="dxa"/>
            <w:bottom w:w="0" w:type="dxa"/>
            <w:right w:w="10" w:type="dxa"/>
          </w:tblCellMar>
        </w:tblPrEx>
        <w:trPr>
          <w:cantSplit/>
          <w:trHeight w:val="567"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 xml:space="preserve">     年      月     日</w:t>
            </w:r>
          </w:p>
        </w:tc>
      </w:tr>
    </w:tbl>
    <w:p>
      <w:pPr>
        <w:jc w:val="left"/>
        <w:rPr>
          <w:rFonts w:ascii="宋体" w:hAnsi="宋体"/>
          <w:b/>
          <w:sz w:val="24"/>
        </w:rPr>
      </w:pPr>
    </w:p>
    <w:p>
      <w:pPr>
        <w:jc w:val="left"/>
        <w:rPr>
          <w:rFonts w:ascii="宋体" w:hAnsi="宋体" w:cs="Arial"/>
          <w:sz w:val="28"/>
          <w:szCs w:val="28"/>
        </w:rPr>
      </w:pPr>
      <w:r>
        <w:rPr>
          <w:rFonts w:hint="eastAsia" w:ascii="宋体" w:hAnsi="宋体"/>
          <w:b/>
          <w:bCs/>
          <w:iCs/>
          <w:sz w:val="24"/>
        </w:rPr>
        <w:t>备注：原则上不允许出现任何优惠性或者折扣性价格调整。</w:t>
      </w:r>
      <w:r>
        <w:rPr>
          <w:rFonts w:hint="eastAsia" w:ascii="宋体" w:hAnsi="宋体"/>
          <w:b/>
          <w:bCs/>
          <w:sz w:val="24"/>
        </w:rPr>
        <w:t>投标总价如有优惠的，必须优惠至各分项报价中以及分项明细报价中。</w:t>
      </w:r>
    </w:p>
    <w:p>
      <w:pPr>
        <w:sectPr>
          <w:headerReference r:id="rId13" w:type="default"/>
          <w:footerReference r:id="rId14" w:type="default"/>
          <w:endnotePr>
            <w:numFmt w:val="decimal"/>
          </w:endnotePr>
          <w:pgSz w:w="11907" w:h="16840"/>
          <w:pgMar w:top="1474" w:right="1134" w:bottom="1474" w:left="1134" w:header="720" w:footer="720" w:gutter="0"/>
          <w:cols w:space="720" w:num="1"/>
        </w:sectPr>
      </w:pPr>
    </w:p>
    <w:p>
      <w:pPr>
        <w:jc w:val="center"/>
        <w:rPr>
          <w:rFonts w:ascii="宋体" w:hAnsi="宋体" w:cs="Arial"/>
          <w:sz w:val="32"/>
          <w:szCs w:val="28"/>
        </w:rPr>
      </w:pPr>
      <w:r>
        <w:rPr>
          <w:rFonts w:hint="eastAsia" w:ascii="宋体" w:hAnsi="宋体" w:cs="Arial"/>
          <w:sz w:val="32"/>
          <w:szCs w:val="28"/>
        </w:rPr>
        <w:t>4-2.单台明细报价表</w:t>
      </w:r>
    </w:p>
    <w:p>
      <w:pPr>
        <w:jc w:val="center"/>
        <w:rPr>
          <w:rFonts w:ascii="宋体" w:hAnsi="宋体" w:cs="Arial"/>
          <w:sz w:val="32"/>
          <w:szCs w:val="28"/>
        </w:rPr>
      </w:pPr>
      <w:r>
        <w:rPr>
          <w:rFonts w:hint="eastAsia" w:ascii="宋体" w:hAnsi="宋体" w:cs="Arial"/>
          <w:color w:val="FF0000"/>
          <w:sz w:val="22"/>
          <w:szCs w:val="28"/>
        </w:rPr>
        <w:t>单台设备明细报价表（以下明细的价格累加必须与单台总价一致）</w:t>
      </w:r>
    </w:p>
    <w:tbl>
      <w:tblPr>
        <w:tblStyle w:val="42"/>
        <w:tblW w:w="9639" w:type="dxa"/>
        <w:tblInd w:w="98" w:type="dxa"/>
        <w:tblLayout w:type="fixed"/>
        <w:tblCellMar>
          <w:top w:w="0" w:type="dxa"/>
          <w:left w:w="10" w:type="dxa"/>
          <w:bottom w:w="0" w:type="dxa"/>
          <w:right w:w="10" w:type="dxa"/>
        </w:tblCellMar>
      </w:tblPr>
      <w:tblGrid>
        <w:gridCol w:w="709"/>
        <w:gridCol w:w="1559"/>
        <w:gridCol w:w="3969"/>
        <w:gridCol w:w="709"/>
        <w:gridCol w:w="709"/>
        <w:gridCol w:w="850"/>
        <w:gridCol w:w="1134"/>
      </w:tblGrid>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序号</w:t>
            </w:r>
          </w:p>
        </w:tc>
        <w:tc>
          <w:tcPr>
            <w:tcW w:w="1559" w:type="dxa"/>
            <w:tcBorders>
              <w:top w:val="single" w:color="000000" w:sz="6"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名称</w:t>
            </w:r>
          </w:p>
        </w:tc>
        <w:tc>
          <w:tcPr>
            <w:tcW w:w="3969" w:type="dxa"/>
            <w:tcBorders>
              <w:top w:val="single" w:color="000000" w:sz="6"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型号、规格</w:t>
            </w: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数量</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单价</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价格</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备注</w:t>
            </w:r>
          </w:p>
          <w:p>
            <w:pPr>
              <w:jc w:val="center"/>
              <w:rPr>
                <w:rFonts w:ascii="宋体" w:hAnsi="宋体"/>
                <w:sz w:val="18"/>
                <w:szCs w:val="18"/>
              </w:rPr>
            </w:pPr>
            <w:r>
              <w:rPr>
                <w:rFonts w:hint="eastAsia" w:ascii="宋体" w:hAnsi="宋体"/>
                <w:sz w:val="18"/>
                <w:szCs w:val="18"/>
              </w:rPr>
              <w:t>（生产商）</w:t>
            </w: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1</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2</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3</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4</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5</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6</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7</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8</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6946"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sz w:val="18"/>
                <w:szCs w:val="18"/>
              </w:rPr>
            </w:pPr>
            <w:r>
              <w:rPr>
                <w:rFonts w:hint="eastAsia" w:ascii="宋体" w:hAnsi="宋体"/>
                <w:sz w:val="18"/>
                <w:szCs w:val="18"/>
              </w:rPr>
              <w:t>合计</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r>
    </w:tbl>
    <w:p>
      <w:pPr>
        <w:spacing w:before="240" w:line="320" w:lineRule="exact"/>
        <w:jc w:val="left"/>
        <w:rPr>
          <w:rFonts w:ascii="宋体" w:hAnsi="宋体" w:cs="Arial"/>
          <w:sz w:val="24"/>
        </w:rPr>
      </w:pPr>
      <w:r>
        <w:rPr>
          <w:rFonts w:hint="eastAsia" w:ascii="宋体" w:hAnsi="宋体" w:cs="Arial"/>
          <w:sz w:val="24"/>
        </w:rPr>
        <w:t>投标人名称（盖公章）：                    备注：表中生产商等内容必须标注清楚。</w:t>
      </w:r>
    </w:p>
    <w:p>
      <w:pPr>
        <w:spacing w:before="240" w:line="320" w:lineRule="exact"/>
        <w:jc w:val="left"/>
        <w:rPr>
          <w:rFonts w:ascii="宋体" w:hAnsi="宋体" w:cs="Arial"/>
          <w:sz w:val="24"/>
        </w:rPr>
      </w:pPr>
      <w:r>
        <w:rPr>
          <w:rFonts w:hint="eastAsia" w:ascii="宋体" w:hAnsi="宋体" w:cs="Arial"/>
          <w:sz w:val="24"/>
        </w:rPr>
        <w:t>投标人名称（盖公章）：</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ascii="宋体" w:hAnsi="宋体" w:cs="Arial"/>
          <w:sz w:val="24"/>
        </w:rPr>
      </w:pPr>
      <w:r>
        <w:rPr>
          <w:rFonts w:hint="eastAsia" w:ascii="宋体" w:hAnsi="宋体" w:cs="Arial"/>
          <w:sz w:val="24"/>
        </w:rPr>
        <w:t>时间：</w:t>
      </w:r>
    </w:p>
    <w:p>
      <w:pPr>
        <w:rPr>
          <w:rFonts w:ascii="宋体" w:hAnsi="宋体" w:cs="Arial"/>
          <w:sz w:val="32"/>
          <w:szCs w:val="28"/>
        </w:rPr>
      </w:pPr>
      <w:r>
        <w:rPr>
          <w:rFonts w:hint="eastAsia" w:ascii="宋体" w:hAnsi="宋体" w:cs="Arial"/>
          <w:sz w:val="32"/>
          <w:szCs w:val="28"/>
        </w:rPr>
        <w:br w:type="page"/>
      </w:r>
    </w:p>
    <w:p>
      <w:pPr>
        <w:jc w:val="center"/>
        <w:rPr>
          <w:rFonts w:ascii="宋体" w:hAnsi="宋体"/>
          <w:sz w:val="30"/>
        </w:rPr>
      </w:pPr>
      <w:r>
        <w:rPr>
          <w:rFonts w:hint="eastAsia" w:ascii="宋体" w:hAnsi="宋体" w:cs="Arial"/>
          <w:sz w:val="32"/>
          <w:szCs w:val="28"/>
        </w:rPr>
        <w:t>4-3.</w:t>
      </w:r>
      <w:r>
        <w:rPr>
          <w:rFonts w:hint="eastAsia" w:ascii="宋体" w:hAnsi="宋体"/>
          <w:sz w:val="30"/>
        </w:rPr>
        <w:t xml:space="preserve"> 常耗件报价表</w:t>
      </w:r>
    </w:p>
    <w:p>
      <w:pPr>
        <w:spacing w:before="240" w:line="320" w:lineRule="exact"/>
        <w:jc w:val="left"/>
        <w:rPr>
          <w:rFonts w:ascii="宋体" w:hAnsi="宋体" w:cs="Arial"/>
          <w:sz w:val="24"/>
        </w:rPr>
      </w:pPr>
      <w:r>
        <w:rPr>
          <w:rFonts w:hint="eastAsia" w:ascii="宋体" w:hAnsi="宋体" w:cs="Arial"/>
          <w:sz w:val="24"/>
        </w:rPr>
        <w:t xml:space="preserve">投标人名称（盖公章）：                </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hint="eastAsia"/>
          <w:lang w:val="en-US" w:eastAsia="zh-CN"/>
        </w:rPr>
      </w:pPr>
      <w:r>
        <w:rPr>
          <w:rFonts w:hint="eastAsia" w:ascii="宋体" w:hAnsi="宋体" w:cs="Arial"/>
          <w:sz w:val="24"/>
        </w:rPr>
        <w:t>时间：</w:t>
      </w:r>
    </w:p>
    <w:p>
      <w:pPr>
        <w:spacing w:line="480" w:lineRule="auto"/>
        <w:jc w:val="left"/>
        <w:rPr>
          <w:rFonts w:ascii="宋体" w:hAnsi="宋体"/>
          <w:b/>
          <w:sz w:val="24"/>
        </w:rPr>
      </w:pPr>
      <w:r>
        <mc:AlternateContent>
          <mc:Choice Requires="wps">
            <w:drawing>
              <wp:anchor distT="0" distB="0" distL="114300" distR="114300" simplePos="0" relativeHeight="251666432" behindDoc="0" locked="0" layoutInCell="1" allowOverlap="1">
                <wp:simplePos x="0" y="0"/>
                <wp:positionH relativeFrom="margin">
                  <wp:posOffset>29210</wp:posOffset>
                </wp:positionH>
                <wp:positionV relativeFrom="paragraph">
                  <wp:posOffset>62865</wp:posOffset>
                </wp:positionV>
                <wp:extent cx="5817235" cy="3616960"/>
                <wp:effectExtent l="0" t="0" r="0" b="0"/>
                <wp:wrapSquare wrapText="bothSides"/>
                <wp:docPr id="14" name="文本框1"/>
                <wp:cNvGraphicFramePr/>
                <a:graphic xmlns:a="http://schemas.openxmlformats.org/drawingml/2006/main">
                  <a:graphicData uri="http://schemas.microsoft.com/office/word/2010/wordprocessingShape">
                    <wps:wsp>
                      <wps:cNvSpPr txBox="1">
                        <a:spLocks noChangeArrowheads="1"/>
                      </wps:cNvSpPr>
                      <wps:spPr bwMode="auto">
                        <a:xfrm>
                          <a:off x="0" y="0"/>
                          <a:ext cx="5817235" cy="3616960"/>
                        </a:xfrm>
                        <a:prstGeom prst="rect">
                          <a:avLst/>
                        </a:prstGeom>
                        <a:noFill/>
                        <a:ln>
                          <a:noFill/>
                        </a:ln>
                        <a:effectLst/>
                      </wps:spPr>
                      <wps:txbx>
                        <w:txbxContent>
                          <w:tbl>
                            <w:tblPr>
                              <w:tblStyle w:val="42"/>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wps:txbx>
                      <wps:bodyPr rot="0" vert="horz" wrap="square" lIns="0" tIns="0" rIns="7620" bIns="7620" anchor="t" anchorCtr="0" upright="1">
                        <a:spAutoFit/>
                      </wps:bodyPr>
                    </wps:wsp>
                  </a:graphicData>
                </a:graphic>
              </wp:anchor>
            </w:drawing>
          </mc:Choice>
          <mc:Fallback>
            <w:pict>
              <v:shape id="文本框1" o:spid="_x0000_s1026" o:spt="202" type="#_x0000_t202" style="position:absolute;left:0pt;margin-left:2.3pt;margin-top:4.95pt;height:284.8pt;width:458.05pt;mso-position-horizontal-relative:margin;mso-wrap-distance-bottom:0pt;mso-wrap-distance-left:9pt;mso-wrap-distance-right:9pt;mso-wrap-distance-top:0pt;z-index:251666432;mso-width-relative:page;mso-height-relative:page;" filled="f" stroked="f" coordsize="21600,21600" o:gfxdata="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rpTVAAAABwEAAA8AAAAAAAAAAQAgAAAAIgAAAGRycy9kb3ducmV2Lnht&#10;bFBLAQIUABQAAAAIAIdO4kB5OfnX/AEAAMwDAAAOAAAAAAAAAAEAIAAAACQBAABkcnMvZTJvRG9j&#10;LnhtbFBLBQYAAAAABgAGAFkBAACSBQAAAAA=&#10;">
                <v:fill on="f" focussize="0,0"/>
                <v:stroke on="f"/>
                <v:imagedata o:title=""/>
                <o:lock v:ext="edit" aspectratio="f"/>
                <v:textbox inset="0mm,0mm,0.6pt,0.6pt" style="mso-fit-shape-to-text:t;">
                  <w:txbxContent>
                    <w:tbl>
                      <w:tblPr>
                        <w:tblStyle w:val="42"/>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5"/>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v:textbox>
                <w10:wrap type="square"/>
              </v:shape>
            </w:pict>
          </mc:Fallback>
        </mc:AlternateContent>
      </w:r>
      <w:r>
        <mc:AlternateContent>
          <mc:Choice Requires="wps">
            <w:drawing>
              <wp:anchor distT="0" distB="0" distL="114300" distR="114300" simplePos="0" relativeHeight="25166336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5"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5" o:spid="_x0000_s1026" o:spt="202" type="#_x0000_t202" style="position:absolute;left:0pt;margin-left:0pt;margin-top:0pt;height:50pt;width:50pt;visibility:hidden;z-index:25166336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EP6stAAAAAFAQAADwAAAAAA&#10;AAABACAAAAAiAAAAZHJzL2Rvd25yZXYueG1sUEsBAhQAFAAAAAgAh07iQFuu1FAbAgAARgQAAA4A&#10;AAAAAAAAAQAgAAAAHwEAAGRycy9lMm9Eb2MueG1sUEsFBgAAAAAGAAYAWQEAAKwFAAAAAA==&#10;">
                <v:fill on="t" focussize="0,0"/>
                <v:stroke color="#000000" joinstyle="round"/>
                <v:imagedata o:title=""/>
                <o:lock v:ext="edit" selection="t" aspectratio="f"/>
              </v:shape>
            </w:pict>
          </mc:Fallback>
        </mc:AlternateContent>
      </w:r>
      <w:r>
        <w:rPr>
          <w:rFonts w:hint="eastAsia" w:ascii="宋体" w:hAnsi="宋体" w:cs="Arial"/>
          <w:sz w:val="24"/>
        </w:rPr>
        <w:t>备注</w:t>
      </w:r>
      <w:r>
        <w:rPr>
          <w:rFonts w:hint="eastAsia" w:ascii="宋体" w:hAnsi="宋体"/>
          <w:b/>
          <w:sz w:val="24"/>
        </w:rPr>
        <w:t>：1、以上备件报价为单台套每件价格；</w:t>
      </w:r>
    </w:p>
    <w:p>
      <w:pPr>
        <w:spacing w:line="480" w:lineRule="auto"/>
        <w:ind w:firstLine="480"/>
        <w:jc w:val="left"/>
        <w:rPr>
          <w:rFonts w:ascii="宋体" w:hAnsi="宋体"/>
          <w:b/>
          <w:sz w:val="24"/>
        </w:rPr>
      </w:pPr>
      <w:r>
        <w:rPr>
          <w:rFonts w:hint="eastAsia" w:ascii="宋体" w:hAnsi="宋体"/>
          <w:b/>
          <w:sz w:val="24"/>
        </w:rPr>
        <w:t>2、常耗件报价表中设备价格不含在投标总价中。</w:t>
      </w: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color w:val="000000" w:themeColor="text1"/>
          <w:sz w:val="32"/>
          <w:szCs w:val="28"/>
          <w14:textFill>
            <w14:solidFill>
              <w14:schemeClr w14:val="tx1"/>
            </w14:solidFill>
          </w14:textFill>
        </w:rPr>
      </w:pPr>
      <w:r>
        <w:rPr>
          <w:rFonts w:hint="eastAsia" w:ascii="宋体" w:hAnsi="宋体" w:cs="Arial"/>
          <w:sz w:val="32"/>
          <w:szCs w:val="28"/>
        </w:rPr>
        <w:t>4-4.对主要分项</w:t>
      </w:r>
      <w:r>
        <w:rPr>
          <w:rFonts w:hint="eastAsia" w:ascii="宋体" w:hAnsi="宋体" w:cs="Arial"/>
          <w:color w:val="000000" w:themeColor="text1"/>
          <w:sz w:val="32"/>
          <w:szCs w:val="28"/>
          <w14:textFill>
            <w14:solidFill>
              <w14:schemeClr w14:val="tx1"/>
            </w14:solidFill>
          </w14:textFill>
        </w:rPr>
        <w:t>明细报价的承诺</w:t>
      </w:r>
    </w:p>
    <w:p>
      <w:pPr>
        <w:rPr>
          <w:b/>
          <w:sz w:val="28"/>
          <w:szCs w:val="28"/>
        </w:rPr>
      </w:pPr>
      <w:bookmarkStart w:id="87" w:name="_Toc42003714"/>
      <w:bookmarkEnd w:id="87"/>
      <w:r>
        <w:rPr>
          <w:rFonts w:hint="eastAsia"/>
          <w:b/>
          <w:sz w:val="28"/>
          <w:szCs w:val="28"/>
        </w:rPr>
        <w:t>致：（采购方名称）</w:t>
      </w:r>
    </w:p>
    <w:p>
      <w:pPr>
        <w:rPr>
          <w:rFonts w:ascii="宋体" w:hAnsi="宋体"/>
          <w:sz w:val="28"/>
          <w:szCs w:val="28"/>
        </w:rPr>
      </w:pPr>
      <w:bookmarkStart w:id="88" w:name="_Toc42003715"/>
      <w:bookmarkEnd w:id="88"/>
      <w:r>
        <w:rPr>
          <w:rFonts w:hint="eastAsia" w:ascii="宋体" w:hAnsi="宋体"/>
          <w:sz w:val="28"/>
          <w:szCs w:val="28"/>
        </w:rPr>
        <w:t>首先感谢贵方邀请我方参与谈判，我方严格按谈判技术文件编制响应文件，报价一览表格式按招标文件要求进行汇总及分项报价，我方保证此明细价格的真实有效，并承诺：如果我方中标，招标方在未来(以下三项任勾选一项)</w:t>
      </w:r>
    </w:p>
    <w:p>
      <w:pPr>
        <w:rPr>
          <w:rFonts w:ascii="宋体" w:hAnsi="宋体"/>
          <w:sz w:val="28"/>
          <w:szCs w:val="28"/>
        </w:rPr>
      </w:pPr>
      <w:bookmarkStart w:id="89" w:name="_Toc42003716"/>
      <w:bookmarkEnd w:id="89"/>
      <w:r>
        <w:rPr>
          <w:rFonts w:hint="eastAsia" w:ascii="宋体" w:hAnsi="宋体"/>
          <w:sz w:val="28"/>
          <w:szCs w:val="28"/>
        </w:rPr>
        <w:t>2年（  ）、</w:t>
      </w:r>
    </w:p>
    <w:p>
      <w:pPr>
        <w:rPr>
          <w:rFonts w:ascii="宋体" w:hAnsi="宋体"/>
          <w:sz w:val="28"/>
          <w:szCs w:val="28"/>
        </w:rPr>
      </w:pPr>
      <w:bookmarkStart w:id="90" w:name="_Toc42003717"/>
      <w:bookmarkEnd w:id="90"/>
      <w:r>
        <w:rPr>
          <w:rFonts w:hint="eastAsia" w:ascii="宋体" w:hAnsi="宋体"/>
          <w:sz w:val="28"/>
          <w:szCs w:val="28"/>
        </w:rPr>
        <w:t>3年（  ）、</w:t>
      </w:r>
    </w:p>
    <w:p>
      <w:pPr>
        <w:rPr>
          <w:rFonts w:ascii="宋体" w:hAnsi="宋体"/>
          <w:sz w:val="28"/>
          <w:szCs w:val="28"/>
        </w:rPr>
      </w:pPr>
      <w:bookmarkStart w:id="91" w:name="_Toc42003718"/>
      <w:bookmarkEnd w:id="91"/>
      <w:r>
        <w:rPr>
          <w:rFonts w:hint="eastAsia" w:ascii="宋体" w:hAnsi="宋体"/>
          <w:sz w:val="28"/>
          <w:szCs w:val="28"/>
        </w:rPr>
        <w:t>5年（  ）</w:t>
      </w:r>
    </w:p>
    <w:tbl>
      <w:tblPr>
        <w:tblStyle w:val="42"/>
        <w:tblpPr w:leftFromText="180" w:rightFromText="180" w:vertAnchor="text" w:horzAnchor="page" w:tblpX="455" w:tblpY="712"/>
        <w:tblOverlap w:val="never"/>
        <w:tblW w:w="10219" w:type="dxa"/>
        <w:tblInd w:w="0" w:type="dxa"/>
        <w:tblLayout w:type="fixed"/>
        <w:tblCellMar>
          <w:top w:w="0" w:type="dxa"/>
          <w:left w:w="10" w:type="dxa"/>
          <w:bottom w:w="0" w:type="dxa"/>
          <w:right w:w="10" w:type="dxa"/>
        </w:tblCellMar>
      </w:tblPr>
      <w:tblGrid>
        <w:gridCol w:w="580"/>
        <w:gridCol w:w="1276"/>
        <w:gridCol w:w="1276"/>
        <w:gridCol w:w="1134"/>
        <w:gridCol w:w="1984"/>
        <w:gridCol w:w="3969"/>
      </w:tblGrid>
      <w:tr>
        <w:tblPrEx>
          <w:tblLayout w:type="fixed"/>
          <w:tblCellMar>
            <w:top w:w="0" w:type="dxa"/>
            <w:left w:w="10" w:type="dxa"/>
            <w:bottom w:w="0" w:type="dxa"/>
            <w:right w:w="10" w:type="dxa"/>
          </w:tblCellMar>
        </w:tblPrEx>
        <w:trPr>
          <w:trHeight w:val="735" w:hRule="atLeast"/>
        </w:trPr>
        <w:tc>
          <w:tcPr>
            <w:tcW w:w="580" w:type="dxa"/>
            <w:tcBorders>
              <w:top w:val="single" w:color="000000" w:sz="4" w:space="0"/>
              <w:left w:val="single" w:color="000000" w:sz="8" w:space="0"/>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bookmarkStart w:id="92" w:name="_Toc42003719"/>
            <w:bookmarkEnd w:id="92"/>
            <w:r>
              <w:rPr>
                <w:rFonts w:hint="eastAsia" w:ascii="宋体" w:hAnsi="宋体" w:cs="宋体"/>
                <w:color w:val="000000" w:themeColor="text1"/>
                <w:sz w:val="20"/>
                <w14:textFill>
                  <w14:solidFill>
                    <w14:schemeClr w14:val="tx1"/>
                  </w14:solidFill>
                </w14:textFill>
              </w:rPr>
              <w:t>序号</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备件名称</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备件规格型号</w:t>
            </w:r>
          </w:p>
        </w:tc>
        <w:tc>
          <w:tcPr>
            <w:tcW w:w="113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备件图号</w:t>
            </w:r>
          </w:p>
        </w:tc>
        <w:tc>
          <w:tcPr>
            <w:tcW w:w="198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备件单价（元/件）</w:t>
            </w:r>
          </w:p>
        </w:tc>
        <w:tc>
          <w:tcPr>
            <w:tcW w:w="3969" w:type="dxa"/>
            <w:tcBorders>
              <w:top w:val="single" w:color="000000" w:sz="4" w:space="0"/>
              <w:left w:val="nil"/>
              <w:bottom w:val="nil"/>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有效期</w:t>
            </w:r>
            <w:r>
              <w:rPr>
                <w:rFonts w:hint="eastAsia" w:ascii="宋体" w:hAnsi="宋体" w:cs="宋体"/>
                <w:color w:val="000000" w:themeColor="text1"/>
                <w:sz w:val="20"/>
                <w14:textFill>
                  <w14:solidFill>
                    <w14:schemeClr w14:val="tx1"/>
                  </w14:solidFill>
                </w14:textFill>
              </w:rPr>
              <w:br w:type="textWrapping"/>
            </w:r>
            <w:r>
              <w:rPr>
                <w:rFonts w:hint="eastAsia" w:ascii="宋体" w:hAnsi="宋体" w:cs="宋体"/>
                <w:color w:val="000000" w:themeColor="text1"/>
                <w:sz w:val="20"/>
                <w14:textFill>
                  <w14:solidFill>
                    <w14:schemeClr w14:val="tx1"/>
                  </w14:solidFill>
                </w14:textFill>
              </w:rPr>
              <w:t>（  年  月  日——   年  月  日）</w:t>
            </w:r>
          </w:p>
        </w:tc>
      </w:tr>
      <w:tr>
        <w:tblPrEx>
          <w:tblLayout w:type="fixed"/>
          <w:tblCellMar>
            <w:top w:w="0" w:type="dxa"/>
            <w:left w:w="10" w:type="dxa"/>
            <w:bottom w:w="0" w:type="dxa"/>
            <w:right w:w="10" w:type="dxa"/>
          </w:tblCellMar>
        </w:tblPrEx>
        <w:trPr>
          <w:trHeight w:val="177" w:hRule="atLeast"/>
        </w:trPr>
        <w:tc>
          <w:tcPr>
            <w:tcW w:w="580" w:type="dxa"/>
            <w:tcBorders>
              <w:top w:val="single" w:color="000000" w:sz="4" w:space="0"/>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single" w:color="000000" w:sz="4" w:space="0"/>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年   月   日  ——   年   月   日</w:t>
            </w: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98"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44"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47"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13"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（表格以下可增项）</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10219" w:type="dxa"/>
            <w:gridSpan w:val="6"/>
            <w:tcBorders>
              <w:top w:val="nil"/>
              <w:left w:val="single" w:color="000000" w:sz="8" w:space="0"/>
              <w:bottom w:val="single" w:color="000000" w:sz="4" w:space="0"/>
              <w:right w:val="single" w:color="000000" w:sz="8" w:space="0"/>
            </w:tcBorders>
            <w:shd w:val="clear" w:color="000000" w:fill="FFFFFF"/>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备注：最终总报价有下降，以最终下浮比例为基数作为本单项价格的最终承诺价。</w:t>
            </w:r>
          </w:p>
        </w:tc>
      </w:tr>
    </w:tbl>
    <w:p>
      <w:pPr>
        <w:rPr>
          <w:sz w:val="28"/>
          <w:szCs w:val="28"/>
        </w:rPr>
      </w:pPr>
      <w:r>
        <w:rPr>
          <w:rFonts w:hint="eastAsia"/>
          <w:sz w:val="28"/>
          <w:szCs w:val="28"/>
        </w:rPr>
        <w:t>的时间内向我方购买以下主要元器件中的任何一项，我方将保证出售单价不高于以下表格单价。</w:t>
      </w:r>
    </w:p>
    <w:p>
      <w:bookmarkStart w:id="93" w:name="_Toc42003720"/>
      <w:bookmarkEnd w:id="93"/>
      <w:r>
        <w:rPr>
          <w:rFonts w:hint="eastAsia"/>
        </w:rPr>
        <w:t>填写说明：</w:t>
      </w:r>
    </w:p>
    <w:p>
      <w:bookmarkStart w:id="94" w:name="_Toc42003721"/>
      <w:bookmarkEnd w:id="94"/>
      <w:r>
        <w:rPr>
          <w:rFonts w:hint="eastAsia"/>
        </w:rPr>
        <w:t>“备件名称”填写的是本次投标中所有主要元器件名称（比如：自动控制器、</w:t>
      </w:r>
      <w:r>
        <w:t>高压隔离开关</w:t>
      </w:r>
      <w:r>
        <w:rPr>
          <w:rFonts w:hint="eastAsia"/>
        </w:rPr>
        <w:t>、电容器、</w:t>
      </w:r>
      <w:r>
        <w:t>真空接触器</w:t>
      </w:r>
      <w:r>
        <w:rPr>
          <w:rFonts w:hint="eastAsia"/>
        </w:rPr>
        <w:t>、</w:t>
      </w:r>
      <w:r>
        <w:t>电抗器</w:t>
      </w:r>
      <w:r>
        <w:rPr>
          <w:rFonts w:hint="eastAsia"/>
        </w:rPr>
        <w:t>、故障分析仪等）；“备件规格型号”必须填写详细，不同型号的同一备件名，应按型号分列；“备件单价”内填写的单价不得高于柜体明细报价表内单价；</w:t>
      </w:r>
    </w:p>
    <w:p>
      <w:bookmarkStart w:id="95" w:name="_Toc42003722"/>
      <w:bookmarkEnd w:id="95"/>
      <w:r>
        <w:rPr>
          <w:rFonts w:hint="eastAsia"/>
        </w:rPr>
        <w:t>“有效期”为预计签订合同时间起至承诺年限时间止。</w:t>
      </w:r>
    </w:p>
    <w:p>
      <w:pPr>
        <w:spacing w:before="240" w:line="320" w:lineRule="exact"/>
        <w:rPr>
          <w:rFonts w:ascii="宋体" w:hAnsi="宋体" w:cs="Arial"/>
          <w:sz w:val="28"/>
          <w:szCs w:val="28"/>
        </w:rPr>
      </w:pPr>
      <w:r>
        <w:rPr>
          <w:rFonts w:hint="eastAsia" w:ascii="宋体" w:hAnsi="宋体" w:cs="Arial"/>
          <w:sz w:val="28"/>
          <w:szCs w:val="28"/>
        </w:rPr>
        <w:t>供应商名称（盖公章）：</w:t>
      </w:r>
    </w:p>
    <w:p>
      <w:pPr>
        <w:spacing w:before="240" w:line="320" w:lineRule="exact"/>
        <w:rPr>
          <w:rFonts w:ascii="宋体" w:hAnsi="宋体" w:cs="Arial"/>
          <w:b/>
          <w:bCs/>
          <w:sz w:val="28"/>
          <w:szCs w:val="28"/>
        </w:rPr>
      </w:pPr>
      <w:r>
        <w:rPr>
          <w:rFonts w:hint="eastAsia" w:ascii="宋体" w:hAnsi="宋体" w:cs="Arial"/>
          <w:sz w:val="28"/>
          <w:szCs w:val="28"/>
        </w:rPr>
        <w:t>授权代表签字：</w:t>
      </w:r>
    </w:p>
    <w:p>
      <w:pPr>
        <w:spacing w:before="240" w:line="320" w:lineRule="exact"/>
        <w:rPr>
          <w:b/>
          <w:sz w:val="28"/>
          <w:szCs w:val="28"/>
        </w:rPr>
      </w:pPr>
      <w:r>
        <w:rPr>
          <w:rFonts w:hint="eastAsia" w:ascii="宋体" w:hAnsi="宋体" w:cs="Arial"/>
          <w:sz w:val="28"/>
          <w:szCs w:val="28"/>
        </w:rPr>
        <w:t>时间：</w:t>
      </w:r>
      <w:r>
        <w:br w:type="page"/>
      </w:r>
    </w:p>
    <w:p>
      <w:pPr>
        <w:jc w:val="center"/>
        <w:rPr>
          <w:rFonts w:ascii="宋体" w:hAnsi="宋体"/>
          <w:b/>
          <w:sz w:val="24"/>
        </w:rPr>
      </w:pPr>
      <w:r>
        <w:rPr>
          <w:sz w:val="28"/>
          <w:szCs w:val="28"/>
        </w:rPr>
        <w:t>5、商务条款偏离表（可附文字详细说明）</w:t>
      </w:r>
    </w:p>
    <w:p>
      <w:pPr>
        <w:spacing w:line="460" w:lineRule="atLeast"/>
        <w:ind w:left="103" w:hanging="103"/>
        <w:rPr>
          <w:rFonts w:ascii="宋体" w:hAnsi="宋体" w:cs="宋体"/>
        </w:rPr>
      </w:pPr>
    </w:p>
    <w:p>
      <w:pPr>
        <w:spacing w:line="460" w:lineRule="atLeast"/>
        <w:ind w:left="-2" w:firstLine="360"/>
        <w:rPr>
          <w:rFonts w:ascii="宋体" w:hAnsi="宋体" w:cs="宋体"/>
        </w:rPr>
      </w:pPr>
      <w:r>
        <w:rPr>
          <w:rFonts w:hint="eastAsia" w:ascii="宋体" w:hAnsi="宋体" w:cs="宋体"/>
          <w:sz w:val="24"/>
        </w:rPr>
        <w:t>投标人名称：</w:t>
      </w:r>
    </w:p>
    <w:p>
      <w:pPr>
        <w:spacing w:line="460" w:lineRule="atLeast"/>
        <w:ind w:left="-2" w:firstLine="360"/>
        <w:rPr>
          <w:rFonts w:ascii="宋体" w:hAnsi="宋体" w:cs="宋体"/>
        </w:rPr>
      </w:pPr>
      <w:r>
        <w:rPr>
          <w:rFonts w:hint="eastAsia" w:ascii="宋体" w:hAnsi="宋体" w:cs="宋体"/>
          <w:sz w:val="24"/>
          <w:lang w:eastAsia="zh-CN"/>
        </w:rPr>
        <w:t>招标项目编号</w:t>
      </w:r>
      <w:r>
        <w:rPr>
          <w:rFonts w:hint="eastAsia" w:ascii="宋体" w:hAnsi="宋体" w:cs="宋体"/>
          <w:sz w:val="24"/>
        </w:rPr>
        <w:t xml:space="preserve">： 　　　　                     </w:t>
      </w:r>
    </w:p>
    <w:tbl>
      <w:tblPr>
        <w:tblStyle w:val="42"/>
        <w:tblW w:w="8654" w:type="dxa"/>
        <w:jc w:val="center"/>
        <w:tblInd w:w="0" w:type="dxa"/>
        <w:tblLayout w:type="fixed"/>
        <w:tblCellMar>
          <w:top w:w="0" w:type="dxa"/>
          <w:left w:w="10" w:type="dxa"/>
          <w:bottom w:w="0" w:type="dxa"/>
          <w:right w:w="10" w:type="dxa"/>
        </w:tblCellMar>
      </w:tblPr>
      <w:tblGrid>
        <w:gridCol w:w="879"/>
        <w:gridCol w:w="1708"/>
        <w:gridCol w:w="2148"/>
        <w:gridCol w:w="2126"/>
        <w:gridCol w:w="1793"/>
      </w:tblGrid>
      <w:tr>
        <w:tblPrEx>
          <w:tblLayout w:type="fixed"/>
          <w:tblCellMar>
            <w:top w:w="0" w:type="dxa"/>
            <w:left w:w="10" w:type="dxa"/>
            <w:bottom w:w="0" w:type="dxa"/>
            <w:right w:w="10" w:type="dxa"/>
          </w:tblCellMar>
        </w:tblPrEx>
        <w:trPr>
          <w:trHeight w:val="988"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序号</w:t>
            </w: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招标文件条目号</w:t>
            </w: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招标文件的商务条款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投标文件的商务条款</w:t>
            </w: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备注（是否响应招标文件要求）</w:t>
            </w: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交货期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付款方式</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质保期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售后服务</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163"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合同条款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r>
              <w:rPr>
                <w:rFonts w:hint="eastAsia" w:ascii="宋体" w:hAnsi="宋体" w:cs="宋体"/>
                <w:szCs w:val="21"/>
              </w:rPr>
              <w:t xml:space="preserve"> 其他商务要求</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bl>
    <w:p>
      <w:pPr>
        <w:spacing w:line="460" w:lineRule="atLeast"/>
        <w:rPr>
          <w:rFonts w:ascii="宋体" w:hAnsi="宋体" w:cs="宋体"/>
        </w:rPr>
      </w:pPr>
    </w:p>
    <w:p>
      <w:pPr>
        <w:spacing w:line="460" w:lineRule="atLeast"/>
        <w:ind w:left="106" w:hanging="106"/>
        <w:rPr>
          <w:rFonts w:ascii="宋体" w:hAnsi="宋体" w:cs="宋体"/>
        </w:rPr>
      </w:pPr>
    </w:p>
    <w:p>
      <w:pPr>
        <w:spacing w:line="460" w:lineRule="atLeast"/>
        <w:ind w:left="106" w:hanging="106"/>
        <w:rPr>
          <w:rFonts w:ascii="宋体" w:hAnsi="宋体" w:cs="宋体"/>
        </w:rPr>
      </w:pPr>
    </w:p>
    <w:p>
      <w:pPr>
        <w:spacing w:line="460" w:lineRule="atLeast"/>
        <w:ind w:left="-105" w:firstLine="470"/>
        <w:rPr>
          <w:rFonts w:ascii="宋体" w:hAnsi="宋体" w:cs="宋体"/>
        </w:rPr>
      </w:pPr>
      <w:r>
        <w:rPr>
          <w:rFonts w:hint="eastAsia" w:ascii="宋体" w:hAnsi="宋体" w:cs="宋体"/>
          <w:b/>
          <w:sz w:val="24"/>
        </w:rPr>
        <w:t>投标人代表（签字）：</w:t>
      </w:r>
    </w:p>
    <w:p>
      <w:pPr>
        <w:spacing w:line="460" w:lineRule="atLeast"/>
        <w:jc w:val="center"/>
        <w:rPr>
          <w:rFonts w:ascii="宋体" w:hAnsi="宋体" w:cs="宋体"/>
        </w:rPr>
      </w:pPr>
    </w:p>
    <w:p>
      <w:pPr>
        <w:spacing w:line="460" w:lineRule="atLeast"/>
        <w:jc w:val="center"/>
        <w:rPr>
          <w:rFonts w:ascii="宋体" w:hAnsi="宋体" w:cs="宋体"/>
        </w:rPr>
      </w:pPr>
    </w:p>
    <w:p>
      <w:pPr>
        <w:spacing w:line="420" w:lineRule="auto"/>
        <w:ind w:left="482" w:hanging="482"/>
        <w:jc w:val="left"/>
        <w:rPr>
          <w:rFonts w:ascii="宋体" w:hAnsi="宋体" w:cs="宋体"/>
        </w:rPr>
      </w:pPr>
      <w:r>
        <w:rPr>
          <w:rFonts w:hint="eastAsia" w:ascii="宋体" w:hAnsi="宋体" w:cs="宋体"/>
          <w:sz w:val="24"/>
        </w:rPr>
        <w:t xml:space="preserve">                                           全权代表 （签字）：</w:t>
      </w:r>
    </w:p>
    <w:p>
      <w:pPr>
        <w:spacing w:line="420" w:lineRule="auto"/>
        <w:ind w:left="482" w:hanging="482"/>
        <w:jc w:val="left"/>
        <w:rPr>
          <w:rFonts w:ascii="宋体" w:hAnsi="宋体" w:cs="宋体"/>
        </w:rPr>
      </w:pPr>
      <w:r>
        <w:rPr>
          <w:rFonts w:hint="eastAsia" w:ascii="宋体" w:hAnsi="宋体" w:cs="宋体"/>
          <w:sz w:val="24"/>
        </w:rPr>
        <w:t xml:space="preserve">                                           日  期：</w:t>
      </w:r>
    </w:p>
    <w:p>
      <w:pPr>
        <w:jc w:val="center"/>
        <w:rPr>
          <w:sz w:val="28"/>
          <w:szCs w:val="28"/>
        </w:rPr>
      </w:pPr>
      <w:bookmarkStart w:id="96" w:name="_Toc263773422"/>
      <w:bookmarkEnd w:id="96"/>
    </w:p>
    <w:p>
      <w:pPr>
        <w:jc w:val="center"/>
        <w:rPr>
          <w:sz w:val="28"/>
          <w:szCs w:val="28"/>
        </w:rPr>
      </w:pPr>
    </w:p>
    <w:p>
      <w:pPr>
        <w:jc w:val="center"/>
        <w:rPr>
          <w:sz w:val="28"/>
          <w:szCs w:val="28"/>
        </w:rPr>
      </w:pPr>
      <w:r>
        <w:rPr>
          <w:sz w:val="28"/>
          <w:szCs w:val="28"/>
        </w:rPr>
        <w:t>6、技术方案</w:t>
      </w:r>
    </w:p>
    <w:p>
      <w:pPr>
        <w:jc w:val="center"/>
        <w:rPr>
          <w:sz w:val="28"/>
          <w:szCs w:val="28"/>
        </w:rPr>
      </w:pPr>
      <w:r>
        <w:rPr>
          <w:rFonts w:hint="eastAsia" w:ascii="宋体" w:hAnsi="宋体"/>
          <w:b/>
          <w:bCs/>
          <w:sz w:val="24"/>
        </w:rPr>
        <w:t>（自行编写）</w:t>
      </w: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rPr>
          <w:rFonts w:ascii="宋体" w:hAnsi="宋体"/>
          <w:sz w:val="24"/>
        </w:rPr>
      </w:pPr>
    </w:p>
    <w:p>
      <w:pPr>
        <w:jc w:val="center"/>
        <w:rPr>
          <w:sz w:val="28"/>
          <w:szCs w:val="28"/>
        </w:rPr>
      </w:pPr>
      <w:bookmarkStart w:id="97" w:name="_Toc263773423"/>
      <w:bookmarkEnd w:id="97"/>
      <w:r>
        <w:br w:type="page"/>
      </w:r>
    </w:p>
    <w:p>
      <w:pPr>
        <w:jc w:val="center"/>
        <w:rPr>
          <w:sz w:val="28"/>
          <w:szCs w:val="28"/>
        </w:rPr>
      </w:pPr>
      <w:r>
        <w:rPr>
          <w:sz w:val="28"/>
          <w:szCs w:val="28"/>
        </w:rPr>
        <w:t>7、技术规范偏离表（可附详细文字说明）</w:t>
      </w:r>
    </w:p>
    <w:p/>
    <w:tbl>
      <w:tblPr>
        <w:tblStyle w:val="42"/>
        <w:tblpPr w:leftFromText="180" w:rightFromText="180" w:vertAnchor="text" w:horzAnchor="page" w:tblpX="932" w:tblpY="345"/>
        <w:tblOverlap w:val="never"/>
        <w:tblW w:w="9464" w:type="dxa"/>
        <w:tblInd w:w="0" w:type="dxa"/>
        <w:tblLayout w:type="fixed"/>
        <w:tblCellMar>
          <w:top w:w="0" w:type="dxa"/>
          <w:left w:w="10" w:type="dxa"/>
          <w:bottom w:w="0" w:type="dxa"/>
          <w:right w:w="10" w:type="dxa"/>
        </w:tblCellMar>
      </w:tblPr>
      <w:tblGrid>
        <w:gridCol w:w="675"/>
        <w:gridCol w:w="1276"/>
        <w:gridCol w:w="1276"/>
        <w:gridCol w:w="2081"/>
        <w:gridCol w:w="2030"/>
        <w:gridCol w:w="1559"/>
        <w:gridCol w:w="567"/>
      </w:tblGrid>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序号</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货物</w:t>
            </w:r>
            <w:r>
              <w:rPr>
                <w:rFonts w:hint="eastAsia" w:ascii="宋体" w:hAnsi="宋体"/>
                <w:szCs w:val="21"/>
              </w:rPr>
              <w:t>（或材料）</w:t>
            </w:r>
            <w:r>
              <w:rPr>
                <w:rFonts w:ascii="宋体" w:hAnsi="宋体"/>
                <w:szCs w:val="21"/>
              </w:rPr>
              <w:t>名称</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规格条目</w:t>
            </w: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招标</w:t>
            </w:r>
            <w:r>
              <w:rPr>
                <w:rFonts w:hint="eastAsia" w:ascii="宋体" w:hAnsi="宋体"/>
                <w:szCs w:val="21"/>
              </w:rPr>
              <w:t>要求</w:t>
            </w: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投标</w:t>
            </w:r>
            <w:r>
              <w:rPr>
                <w:rFonts w:hint="eastAsia" w:ascii="宋体" w:hAnsi="宋体"/>
                <w:szCs w:val="21"/>
              </w:rPr>
              <w:t>响应</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偏离</w:t>
            </w:r>
            <w:r>
              <w:rPr>
                <w:rFonts w:hint="eastAsia" w:ascii="宋体" w:hAnsi="宋体"/>
                <w:szCs w:val="21"/>
              </w:rPr>
              <w:t>、响应情况</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备  注</w:t>
            </w: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例：</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叙述投标响应情况</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正偏离\负偏离</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投标人盖章：</w:t>
      </w:r>
    </w:p>
    <w:p>
      <w:pPr>
        <w:spacing w:line="360" w:lineRule="auto"/>
        <w:rPr>
          <w:rFonts w:ascii="宋体" w:hAnsi="宋体"/>
          <w:sz w:val="24"/>
        </w:rPr>
      </w:pPr>
      <w:r>
        <w:rPr>
          <w:rFonts w:ascii="宋体" w:hAnsi="宋体"/>
          <w:sz w:val="24"/>
        </w:rPr>
        <w:t>全权代表签字：</w:t>
      </w:r>
    </w:p>
    <w:p>
      <w:pPr>
        <w:spacing w:line="360" w:lineRule="auto"/>
        <w:ind w:left="462" w:hanging="462"/>
        <w:rPr>
          <w:rFonts w:ascii="宋体" w:hAnsi="宋体"/>
          <w:sz w:val="24"/>
        </w:rPr>
      </w:pPr>
      <w:r>
        <w:rPr>
          <w:rFonts w:ascii="宋体" w:hAnsi="宋体"/>
          <w:sz w:val="24"/>
        </w:rPr>
        <w:t>注：投标人递交的技术规范书中与</w:t>
      </w:r>
      <w:r>
        <w:rPr>
          <w:rFonts w:hint="eastAsia" w:ascii="宋体" w:hAnsi="宋体"/>
          <w:sz w:val="24"/>
        </w:rPr>
        <w:t>招标文件</w:t>
      </w:r>
      <w:r>
        <w:rPr>
          <w:rFonts w:ascii="宋体" w:hAnsi="宋体"/>
          <w:sz w:val="24"/>
        </w:rPr>
        <w:t>的技术规范书中的要求</w:t>
      </w:r>
      <w:r>
        <w:rPr>
          <w:rFonts w:hint="eastAsia" w:ascii="宋体" w:hAnsi="宋体"/>
          <w:sz w:val="24"/>
        </w:rPr>
        <w:t>无论是否有偏离，均需</w:t>
      </w:r>
      <w:r>
        <w:rPr>
          <w:rFonts w:ascii="宋体" w:hAnsi="宋体"/>
          <w:sz w:val="24"/>
        </w:rPr>
        <w:t>逐条列在技术偏离表中，否则将认为投标人接受</w:t>
      </w:r>
      <w:r>
        <w:rPr>
          <w:rFonts w:hint="eastAsia" w:ascii="宋体" w:hAnsi="宋体"/>
          <w:sz w:val="24"/>
        </w:rPr>
        <w:t>招标文件</w:t>
      </w:r>
      <w:r>
        <w:rPr>
          <w:rFonts w:ascii="宋体" w:hAnsi="宋体"/>
          <w:sz w:val="24"/>
        </w:rPr>
        <w:t xml:space="preserve">中的技术要求。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jc w:val="center"/>
        <w:rPr>
          <w:rFonts w:ascii="宋体" w:hAnsi="宋体"/>
          <w:sz w:val="24"/>
        </w:rPr>
      </w:pPr>
      <w:bookmarkStart w:id="98" w:name="_Toc263773424"/>
      <w:bookmarkEnd w:id="98"/>
      <w:r>
        <w:br w:type="page"/>
      </w:r>
    </w:p>
    <w:p>
      <w:pPr>
        <w:ind w:left="435"/>
        <w:jc w:val="center"/>
        <w:rPr>
          <w:sz w:val="28"/>
          <w:szCs w:val="28"/>
        </w:rPr>
      </w:pPr>
      <w:bookmarkStart w:id="99" w:name="_Toc263773425"/>
      <w:bookmarkEnd w:id="99"/>
      <w:r>
        <w:rPr>
          <w:sz w:val="28"/>
          <w:szCs w:val="28"/>
        </w:rPr>
        <w:t>8、售后服务承诺</w:t>
      </w:r>
    </w:p>
    <w:p>
      <w:pPr>
        <w:spacing w:line="360" w:lineRule="auto"/>
        <w:ind w:firstLine="960"/>
        <w:rPr>
          <w:rFonts w:ascii="宋体" w:hAnsi="宋体"/>
          <w:sz w:val="24"/>
        </w:rPr>
      </w:pPr>
      <w:r>
        <w:rPr>
          <w:rFonts w:ascii="宋体" w:hAnsi="宋体"/>
          <w:sz w:val="24"/>
        </w:rPr>
        <w:t>售后服务承诺包括但不限于以下内容：</w:t>
      </w:r>
    </w:p>
    <w:p>
      <w:pPr>
        <w:spacing w:line="360" w:lineRule="auto"/>
        <w:ind w:firstLine="960"/>
        <w:rPr>
          <w:rFonts w:ascii="宋体" w:hAnsi="宋体"/>
          <w:sz w:val="24"/>
        </w:rPr>
      </w:pPr>
      <w:r>
        <w:rPr>
          <w:rFonts w:hint="eastAsia" w:ascii="宋体" w:hAnsi="宋体"/>
          <w:sz w:val="24"/>
        </w:rPr>
        <w:t>1、</w:t>
      </w:r>
      <w:r>
        <w:rPr>
          <w:rFonts w:ascii="宋体" w:hAnsi="宋体"/>
          <w:sz w:val="24"/>
        </w:rPr>
        <w:t>维修网点</w:t>
      </w:r>
    </w:p>
    <w:p>
      <w:pPr>
        <w:spacing w:line="360" w:lineRule="auto"/>
        <w:ind w:firstLine="960"/>
        <w:rPr>
          <w:rFonts w:ascii="宋体" w:hAnsi="宋体"/>
          <w:sz w:val="24"/>
        </w:rPr>
      </w:pPr>
      <w:r>
        <w:rPr>
          <w:rFonts w:hint="eastAsia" w:ascii="宋体" w:hAnsi="宋体"/>
          <w:sz w:val="24"/>
        </w:rPr>
        <w:t>2、</w:t>
      </w:r>
      <w:r>
        <w:rPr>
          <w:rFonts w:ascii="宋体" w:hAnsi="宋体"/>
          <w:sz w:val="24"/>
        </w:rPr>
        <w:t>维修人员</w:t>
      </w:r>
    </w:p>
    <w:p>
      <w:pPr>
        <w:spacing w:line="360" w:lineRule="auto"/>
        <w:rPr>
          <w:rFonts w:ascii="宋体" w:hAnsi="宋体"/>
          <w:sz w:val="24"/>
        </w:rPr>
      </w:pPr>
      <w:r>
        <w:rPr>
          <w:rFonts w:hint="eastAsia" w:ascii="宋体" w:hAnsi="宋体"/>
          <w:sz w:val="24"/>
        </w:rPr>
        <w:t xml:space="preserve">        3、</w:t>
      </w:r>
      <w:r>
        <w:rPr>
          <w:rFonts w:ascii="宋体" w:hAnsi="宋体"/>
          <w:sz w:val="24"/>
        </w:rPr>
        <w:t>响应时间</w:t>
      </w:r>
    </w:p>
    <w:p>
      <w:pPr>
        <w:spacing w:line="360" w:lineRule="auto"/>
        <w:rPr>
          <w:rFonts w:ascii="宋体" w:hAnsi="宋体"/>
          <w:sz w:val="24"/>
        </w:rPr>
      </w:pPr>
      <w:r>
        <w:rPr>
          <w:rFonts w:hint="eastAsia" w:ascii="宋体" w:hAnsi="宋体"/>
          <w:sz w:val="24"/>
        </w:rPr>
        <w:t xml:space="preserve">        4、</w:t>
      </w:r>
      <w:r>
        <w:rPr>
          <w:rFonts w:ascii="宋体" w:hAnsi="宋体"/>
          <w:sz w:val="24"/>
        </w:rPr>
        <w:t>服务承诺</w:t>
      </w:r>
    </w:p>
    <w:p>
      <w:pPr>
        <w:spacing w:line="360" w:lineRule="auto"/>
        <w:rPr>
          <w:rFonts w:ascii="宋体" w:hAnsi="宋体"/>
          <w:sz w:val="24"/>
        </w:rPr>
      </w:pPr>
      <w:r>
        <w:rPr>
          <w:rFonts w:hint="eastAsia" w:ascii="宋体" w:hAnsi="宋体"/>
          <w:sz w:val="24"/>
        </w:rPr>
        <w:t xml:space="preserve">        5、</w:t>
      </w:r>
      <w:r>
        <w:rPr>
          <w:rFonts w:ascii="宋体" w:hAnsi="宋体"/>
          <w:sz w:val="24"/>
        </w:rPr>
        <w:t>质保期后的维修费用</w:t>
      </w:r>
    </w:p>
    <w:p>
      <w:pPr>
        <w:spacing w:line="360" w:lineRule="auto"/>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rPr>
          <w:rFonts w:ascii="宋体" w:hAnsi="宋体"/>
          <w:sz w:val="24"/>
        </w:rPr>
      </w:pPr>
    </w:p>
    <w:p>
      <w:pPr>
        <w:rPr>
          <w:rFonts w:ascii="宋体" w:hAnsi="宋体"/>
          <w:b/>
          <w:sz w:val="24"/>
        </w:rPr>
      </w:pPr>
    </w:p>
    <w:p>
      <w:pPr>
        <w:rPr>
          <w:rFonts w:ascii="宋体" w:hAnsi="宋体"/>
          <w:b/>
          <w:sz w:val="24"/>
        </w:rPr>
      </w:pPr>
    </w:p>
    <w:p>
      <w:pPr>
        <w:jc w:val="center"/>
        <w:rPr>
          <w:sz w:val="28"/>
          <w:szCs w:val="28"/>
        </w:rPr>
      </w:pPr>
      <w:bookmarkStart w:id="100" w:name="_Toc228293074"/>
      <w:bookmarkEnd w:id="100"/>
      <w:bookmarkStart w:id="101" w:name="_Toc158452582"/>
      <w:bookmarkEnd w:id="101"/>
    </w:p>
    <w:p>
      <w:pPr>
        <w:jc w:val="center"/>
        <w:rPr>
          <w:sz w:val="28"/>
          <w:szCs w:val="28"/>
        </w:rPr>
      </w:pPr>
      <w:r>
        <w:rPr>
          <w:rFonts w:hint="eastAsia"/>
          <w:sz w:val="28"/>
          <w:szCs w:val="28"/>
        </w:rPr>
        <w:t xml:space="preserve">                                                                                                                                                                                                                          </w:t>
      </w:r>
      <w:r>
        <w:rPr>
          <w:sz w:val="28"/>
          <w:szCs w:val="28"/>
        </w:rPr>
        <w:t>9、投标方提供的指导安装、调试重要工序表</w:t>
      </w:r>
    </w:p>
    <w:p>
      <w:pPr>
        <w:jc w:val="center"/>
        <w:rPr>
          <w:rFonts w:ascii="宋体" w:hAnsi="宋体"/>
          <w:b/>
          <w:szCs w:val="21"/>
        </w:rPr>
      </w:pPr>
    </w:p>
    <w:tbl>
      <w:tblPr>
        <w:tblStyle w:val="42"/>
        <w:tblpPr w:leftFromText="180" w:rightFromText="180" w:vertAnchor="text" w:horzAnchor="page" w:tblpX="945" w:tblpY="889"/>
        <w:tblOverlap w:val="never"/>
        <w:tblW w:w="9286" w:type="dxa"/>
        <w:tblInd w:w="0" w:type="dxa"/>
        <w:tblLayout w:type="fixed"/>
        <w:tblCellMar>
          <w:top w:w="0" w:type="dxa"/>
          <w:left w:w="10" w:type="dxa"/>
          <w:bottom w:w="0" w:type="dxa"/>
          <w:right w:w="10" w:type="dxa"/>
        </w:tblCellMar>
      </w:tblPr>
      <w:tblGrid>
        <w:gridCol w:w="1662"/>
        <w:gridCol w:w="2966"/>
        <w:gridCol w:w="2589"/>
        <w:gridCol w:w="2069"/>
      </w:tblGrid>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3"/>
              <w:spacing w:line="440" w:lineRule="exact"/>
              <w:jc w:val="center"/>
              <w:rPr>
                <w:rFonts w:ascii="宋体" w:hAnsi="宋体"/>
              </w:rPr>
            </w:pPr>
            <w:r>
              <w:rPr>
                <w:rFonts w:ascii="宋体" w:hAnsi="宋体"/>
              </w:rPr>
              <w:t>序号</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3"/>
              <w:spacing w:line="440" w:lineRule="exact"/>
              <w:jc w:val="center"/>
              <w:rPr>
                <w:rFonts w:ascii="宋体" w:hAnsi="宋体"/>
              </w:rPr>
            </w:pPr>
            <w:r>
              <w:rPr>
                <w:rFonts w:ascii="宋体" w:hAnsi="宋体"/>
              </w:rPr>
              <w:t>工序名称</w:t>
            </w: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工序主要内容</w:t>
            </w: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备注</w:t>
            </w: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ind w:firstLine="480"/>
              <w:rPr>
                <w:rFonts w:ascii="宋体" w:hAnsi="宋体"/>
                <w:sz w:val="24"/>
              </w:rPr>
            </w:pPr>
            <w:r>
              <w:rPr>
                <w:rFonts w:ascii="宋体" w:hAnsi="宋体"/>
                <w:sz w:val="24"/>
              </w:rPr>
              <w:t>1</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2</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3</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33"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4</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bl>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before="120" w:after="120" w:line="360" w:lineRule="auto"/>
        <w:rPr>
          <w:rFonts w:ascii="宋体" w:hAnsi="宋体"/>
          <w:sz w:val="24"/>
          <w:u w:val="single"/>
        </w:rPr>
      </w:pPr>
      <w:r>
        <w:rPr>
          <w:rFonts w:ascii="宋体" w:hAnsi="宋体"/>
          <w:sz w:val="24"/>
        </w:rPr>
        <w:t>投标人(盖单位公章)：</w:t>
      </w:r>
    </w:p>
    <w:p>
      <w:pPr>
        <w:spacing w:before="120" w:after="120" w:line="360" w:lineRule="auto"/>
        <w:rPr>
          <w:rFonts w:ascii="宋体" w:hAnsi="宋体"/>
          <w:sz w:val="24"/>
        </w:rPr>
      </w:pPr>
    </w:p>
    <w:p>
      <w:pPr>
        <w:spacing w:before="120" w:after="120" w:line="360" w:lineRule="auto"/>
        <w:rPr>
          <w:rFonts w:ascii="宋体" w:hAnsi="宋体"/>
          <w:sz w:val="24"/>
          <w:u w:val="single"/>
        </w:rPr>
      </w:pPr>
      <w:r>
        <w:rPr>
          <w:rFonts w:ascii="宋体" w:hAnsi="宋体"/>
          <w:sz w:val="24"/>
        </w:rPr>
        <w:t>法定代表人或委托代理人(签字)：</w:t>
      </w:r>
    </w:p>
    <w:p>
      <w:pPr>
        <w:spacing w:before="120" w:after="120" w:line="360" w:lineRule="auto"/>
        <w:rPr>
          <w:rFonts w:ascii="宋体" w:hAnsi="宋体"/>
          <w:b/>
          <w:sz w:val="24"/>
        </w:rPr>
      </w:pPr>
      <w:r>
        <w:rPr>
          <w:rFonts w:ascii="宋体" w:hAnsi="宋体"/>
          <w:sz w:val="24"/>
        </w:rPr>
        <w:t>日期：</w:t>
      </w:r>
      <w:r>
        <w:rPr>
          <w:rFonts w:ascii="宋体" w:hAnsi="宋体"/>
          <w:sz w:val="24"/>
          <w:u w:val="single"/>
        </w:rPr>
        <w:t xml:space="preserve">年月日 </w:t>
      </w:r>
      <w:r>
        <w:br w:type="page"/>
      </w:r>
    </w:p>
    <w:p>
      <w:pPr>
        <w:jc w:val="center"/>
        <w:rPr>
          <w:rFonts w:ascii="宋体" w:hAnsi="宋体"/>
        </w:rPr>
      </w:pPr>
      <w:bookmarkStart w:id="102" w:name="_Toc228293075"/>
      <w:bookmarkEnd w:id="102"/>
      <w:bookmarkStart w:id="103" w:name="_Toc158452583"/>
      <w:bookmarkEnd w:id="103"/>
      <w:bookmarkStart w:id="104" w:name="_Toc229651087"/>
      <w:bookmarkEnd w:id="104"/>
    </w:p>
    <w:p>
      <w:pPr>
        <w:rPr>
          <w:rFonts w:ascii="宋体" w:hAnsi="宋体"/>
          <w:sz w:val="24"/>
        </w:rPr>
      </w:pPr>
      <w:r>
        <w:rPr>
          <w:sz w:val="28"/>
          <w:szCs w:val="28"/>
        </w:rPr>
        <w:t>10、资格证明文件</w:t>
      </w:r>
    </w:p>
    <w:p>
      <w:pPr>
        <w:rPr>
          <w:sz w:val="24"/>
        </w:rPr>
      </w:pPr>
      <w:bookmarkStart w:id="105" w:name="_Toc263773426"/>
      <w:bookmarkEnd w:id="105"/>
      <w:r>
        <w:rPr>
          <w:sz w:val="24"/>
        </w:rPr>
        <w:t>10</w:t>
      </w:r>
      <w:r>
        <w:rPr>
          <w:bCs/>
          <w:sz w:val="24"/>
        </w:rPr>
        <w:t>.</w:t>
      </w:r>
      <w:r>
        <w:rPr>
          <w:sz w:val="24"/>
        </w:rPr>
        <w:t>1 法定代表人授权书</w:t>
      </w:r>
    </w:p>
    <w:p>
      <w:pPr>
        <w:spacing w:line="360" w:lineRule="auto"/>
        <w:ind w:left="899"/>
        <w:rPr>
          <w:rFonts w:ascii="宋体" w:hAnsi="宋体"/>
          <w:sz w:val="24"/>
        </w:rPr>
      </w:pPr>
    </w:p>
    <w:p>
      <w:pPr>
        <w:spacing w:line="360" w:lineRule="auto"/>
        <w:ind w:firstLine="480"/>
        <w:rPr>
          <w:rFonts w:ascii="宋体" w:hAnsi="宋体"/>
          <w:sz w:val="24"/>
        </w:rPr>
      </w:pPr>
      <w:r>
        <w:rPr>
          <w:rFonts w:ascii="宋体" w:hAnsi="宋体"/>
          <w:sz w:val="24"/>
        </w:rPr>
        <w:t xml:space="preserve">本授权书声明：注册于 </w:t>
      </w:r>
      <w:r>
        <w:rPr>
          <w:rFonts w:ascii="宋体" w:hAnsi="宋体"/>
          <w:sz w:val="24"/>
          <w:u w:val="single"/>
        </w:rPr>
        <w:t xml:space="preserve">[国家或地区的名称] </w:t>
      </w:r>
      <w:r>
        <w:rPr>
          <w:rFonts w:ascii="宋体" w:hAnsi="宋体"/>
          <w:sz w:val="24"/>
        </w:rPr>
        <w:t xml:space="preserve">的 </w:t>
      </w:r>
      <w:r>
        <w:rPr>
          <w:rFonts w:ascii="宋体" w:hAnsi="宋体"/>
          <w:sz w:val="24"/>
          <w:u w:val="single"/>
        </w:rPr>
        <w:t>[公司名称]</w:t>
      </w:r>
      <w:r>
        <w:rPr>
          <w:rFonts w:ascii="宋体" w:hAnsi="宋体"/>
          <w:sz w:val="24"/>
        </w:rPr>
        <w:t xml:space="preserve">的在下面签字的 </w:t>
      </w:r>
      <w:r>
        <w:rPr>
          <w:rFonts w:ascii="宋体" w:hAnsi="宋体"/>
          <w:sz w:val="24"/>
          <w:u w:val="single"/>
        </w:rPr>
        <w:t xml:space="preserve">[法人代表姓名、职务] </w:t>
      </w:r>
      <w:r>
        <w:rPr>
          <w:rFonts w:ascii="宋体" w:hAnsi="宋体"/>
          <w:sz w:val="24"/>
        </w:rPr>
        <w:t xml:space="preserve">代表本公司授权 </w:t>
      </w:r>
      <w:r>
        <w:rPr>
          <w:rFonts w:ascii="宋体" w:hAnsi="宋体"/>
          <w:sz w:val="24"/>
          <w:u w:val="single"/>
        </w:rPr>
        <w:t xml:space="preserve">[单位名称] </w:t>
      </w:r>
      <w:r>
        <w:rPr>
          <w:rFonts w:ascii="宋体" w:hAnsi="宋体"/>
          <w:sz w:val="24"/>
        </w:rPr>
        <w:t xml:space="preserve">的在下面签字的 </w:t>
      </w:r>
      <w:r>
        <w:rPr>
          <w:rFonts w:ascii="宋体" w:hAnsi="宋体"/>
          <w:sz w:val="24"/>
          <w:u w:val="single"/>
        </w:rPr>
        <w:t xml:space="preserve">[被授权人的姓名、职务] </w:t>
      </w:r>
      <w:r>
        <w:rPr>
          <w:rFonts w:ascii="宋体" w:hAnsi="宋体"/>
          <w:sz w:val="24"/>
        </w:rPr>
        <w:t xml:space="preserve">为本公司的合法代理人，就 </w:t>
      </w:r>
      <w:r>
        <w:rPr>
          <w:rFonts w:ascii="宋体" w:hAnsi="宋体"/>
          <w:sz w:val="24"/>
          <w:u w:val="single"/>
        </w:rPr>
        <w:t xml:space="preserve">[项目名称] </w:t>
      </w:r>
      <w:r>
        <w:rPr>
          <w:rFonts w:ascii="宋体" w:hAnsi="宋体"/>
          <w:sz w:val="24"/>
        </w:rPr>
        <w:t xml:space="preserve">的 </w:t>
      </w:r>
      <w:r>
        <w:rPr>
          <w:rFonts w:ascii="宋体" w:hAnsi="宋体"/>
          <w:sz w:val="24"/>
          <w:u w:val="single"/>
        </w:rPr>
        <w:t xml:space="preserve">[合同名称] </w:t>
      </w:r>
      <w:r>
        <w:rPr>
          <w:rFonts w:ascii="宋体" w:hAnsi="宋体"/>
          <w:sz w:val="24"/>
        </w:rPr>
        <w:t xml:space="preserve">投标，以本公司名义处理一切与之有关的事务。 </w:t>
      </w:r>
    </w:p>
    <w:p>
      <w:pPr>
        <w:spacing w:line="360" w:lineRule="auto"/>
        <w:ind w:firstLine="480"/>
        <w:rPr>
          <w:rFonts w:ascii="宋体" w:hAnsi="宋体"/>
          <w:sz w:val="24"/>
        </w:rPr>
      </w:pPr>
    </w:p>
    <w:p>
      <w:pPr>
        <w:spacing w:line="360" w:lineRule="auto"/>
        <w:rPr>
          <w:rFonts w:ascii="宋体" w:hAnsi="宋体"/>
          <w:sz w:val="24"/>
        </w:rPr>
      </w:pPr>
      <w:r>
        <w:rPr>
          <w:rFonts w:ascii="宋体" w:hAnsi="宋体"/>
          <w:sz w:val="24"/>
        </w:rPr>
        <w:t>本授权书于________________年____月___日签字生效， 特此声明。</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（被授权人身份证复印件）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540"/>
        <w:rPr>
          <w:rFonts w:ascii="宋体" w:hAnsi="宋体"/>
          <w:sz w:val="24"/>
        </w:rPr>
      </w:pPr>
      <w:r>
        <w:rPr>
          <w:rFonts w:ascii="宋体" w:hAnsi="宋体"/>
          <w:sz w:val="24"/>
        </w:rPr>
        <w:t>投标人盖章：</w:t>
      </w:r>
    </w:p>
    <w:p>
      <w:pPr>
        <w:spacing w:line="360" w:lineRule="auto"/>
        <w:ind w:firstLine="540"/>
        <w:rPr>
          <w:rFonts w:ascii="宋体" w:hAnsi="宋体"/>
          <w:sz w:val="24"/>
        </w:rPr>
      </w:pPr>
      <w:r>
        <w:rPr>
          <w:rFonts w:ascii="宋体" w:hAnsi="宋体"/>
          <w:sz w:val="24"/>
        </w:rPr>
        <w:t>法人代表签字或盖章：_________________</w:t>
      </w:r>
    </w:p>
    <w:p>
      <w:pPr>
        <w:spacing w:line="360" w:lineRule="auto"/>
        <w:ind w:firstLine="540"/>
        <w:rPr>
          <w:rFonts w:ascii="宋体" w:hAnsi="宋体"/>
          <w:sz w:val="24"/>
        </w:rPr>
      </w:pPr>
      <w:r>
        <w:rPr>
          <w:rFonts w:ascii="宋体" w:hAnsi="宋体"/>
          <w:sz w:val="24"/>
        </w:rPr>
        <w:t>被授权人签字或盖章：_________________</w:t>
      </w:r>
    </w:p>
    <w:p>
      <w:pPr>
        <w:spacing w:line="360" w:lineRule="auto"/>
        <w:ind w:firstLine="540"/>
        <w:rPr>
          <w:rFonts w:ascii="宋体" w:hAnsi="宋体"/>
          <w:sz w:val="24"/>
        </w:rPr>
      </w:pPr>
      <w:r>
        <w:rPr>
          <w:rFonts w:ascii="宋体" w:hAnsi="宋体"/>
          <w:sz w:val="24"/>
        </w:rPr>
        <w:t>职务： _____________________________</w:t>
      </w:r>
    </w:p>
    <w:p>
      <w:pPr>
        <w:spacing w:line="360" w:lineRule="auto"/>
        <w:ind w:firstLine="540"/>
        <w:rPr>
          <w:rFonts w:ascii="宋体" w:hAnsi="宋体"/>
          <w:sz w:val="24"/>
        </w:rPr>
      </w:pPr>
      <w:r>
        <w:rPr>
          <w:rFonts w:ascii="宋体" w:hAnsi="宋体"/>
          <w:sz w:val="24"/>
        </w:rPr>
        <w:t>单位名称：__________________________</w:t>
      </w:r>
    </w:p>
    <w:p>
      <w:pPr>
        <w:spacing w:line="360" w:lineRule="auto"/>
        <w:ind w:firstLine="540"/>
        <w:rPr>
          <w:rFonts w:ascii="宋体" w:hAnsi="宋体"/>
          <w:sz w:val="24"/>
        </w:rPr>
      </w:pPr>
      <w:r>
        <w:rPr>
          <w:rFonts w:ascii="宋体" w:hAnsi="宋体"/>
          <w:sz w:val="24"/>
        </w:rPr>
        <w:t>地址： ______________________________</w:t>
      </w: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rPr>
          <w:sz w:val="24"/>
        </w:rPr>
      </w:pPr>
      <w:bookmarkStart w:id="106" w:name="_Toc263773427"/>
      <w:bookmarkEnd w:id="106"/>
      <w:r>
        <w:br w:type="page"/>
      </w:r>
    </w:p>
    <w:p>
      <w:pPr>
        <w:rPr>
          <w:sz w:val="24"/>
        </w:rPr>
      </w:pPr>
      <w:r>
        <w:rPr>
          <w:sz w:val="24"/>
        </w:rPr>
        <w:t>10</w:t>
      </w:r>
      <w:r>
        <w:rPr>
          <w:bCs/>
          <w:sz w:val="24"/>
        </w:rPr>
        <w:t>.</w:t>
      </w:r>
      <w:r>
        <w:rPr>
          <w:sz w:val="24"/>
        </w:rPr>
        <w:t>2投标单位情况表</w:t>
      </w:r>
    </w:p>
    <w:p>
      <w:pPr>
        <w:spacing w:line="360" w:lineRule="auto"/>
        <w:jc w:val="center"/>
        <w:rPr>
          <w:rFonts w:ascii="宋体" w:hAnsi="宋体"/>
          <w:sz w:val="24"/>
        </w:rPr>
      </w:pPr>
    </w:p>
    <w:p>
      <w:pPr>
        <w:spacing w:line="360" w:lineRule="auto"/>
        <w:rPr>
          <w:rFonts w:ascii="宋体" w:hAnsi="宋体"/>
          <w:b/>
          <w:sz w:val="24"/>
        </w:rPr>
      </w:pPr>
      <w:r>
        <w:rPr>
          <w:rFonts w:ascii="宋体" w:hAnsi="宋体"/>
          <w:b/>
          <w:sz w:val="24"/>
        </w:rPr>
        <w:t>制造厂家资格声明</w:t>
      </w:r>
    </w:p>
    <w:p>
      <w:pPr>
        <w:spacing w:line="360" w:lineRule="auto"/>
        <w:rPr>
          <w:rFonts w:ascii="宋体" w:hAnsi="宋体"/>
          <w:sz w:val="24"/>
        </w:rPr>
      </w:pPr>
    </w:p>
    <w:p>
      <w:pPr>
        <w:spacing w:line="360" w:lineRule="auto"/>
        <w:rPr>
          <w:rFonts w:ascii="宋体" w:hAnsi="宋体"/>
          <w:b/>
          <w:sz w:val="24"/>
        </w:rPr>
      </w:pPr>
      <w:r>
        <w:rPr>
          <w:rFonts w:ascii="宋体" w:hAnsi="宋体"/>
          <w:b/>
          <w:sz w:val="24"/>
        </w:rPr>
        <w:t>1．制造商名称及概况：</w:t>
      </w:r>
    </w:p>
    <w:p>
      <w:pPr>
        <w:spacing w:line="360" w:lineRule="auto"/>
        <w:rPr>
          <w:rFonts w:ascii="宋体" w:hAnsi="宋体"/>
          <w:sz w:val="24"/>
        </w:rPr>
      </w:pPr>
      <w:r>
        <w:rPr>
          <w:rFonts w:ascii="宋体" w:hAnsi="宋体"/>
          <w:sz w:val="24"/>
        </w:rPr>
        <w:t xml:space="preserve">   （1）制造厂家名称：</w:t>
      </w:r>
    </w:p>
    <w:p>
      <w:pPr>
        <w:spacing w:line="360" w:lineRule="auto"/>
        <w:rPr>
          <w:rFonts w:ascii="宋体" w:hAnsi="宋体"/>
          <w:sz w:val="24"/>
        </w:rPr>
      </w:pPr>
      <w:r>
        <w:rPr>
          <w:rFonts w:ascii="宋体" w:hAnsi="宋体"/>
          <w:sz w:val="24"/>
        </w:rPr>
        <w:t xml:space="preserve">   （2）地址：  邮编：</w:t>
      </w:r>
    </w:p>
    <w:p>
      <w:pPr>
        <w:spacing w:line="360" w:lineRule="auto"/>
        <w:rPr>
          <w:rFonts w:ascii="宋体" w:hAnsi="宋体"/>
          <w:sz w:val="24"/>
          <w:u w:val="single"/>
        </w:rPr>
      </w:pPr>
      <w:r>
        <w:rPr>
          <w:rFonts w:ascii="宋体" w:hAnsi="宋体"/>
          <w:sz w:val="24"/>
        </w:rPr>
        <w:tab/>
      </w:r>
      <w:r>
        <w:rPr>
          <w:rFonts w:ascii="宋体" w:hAnsi="宋体"/>
          <w:sz w:val="24"/>
        </w:rPr>
        <w:t xml:space="preserve">    传真／电话：</w:t>
      </w:r>
    </w:p>
    <w:p>
      <w:pPr>
        <w:spacing w:line="360" w:lineRule="auto"/>
        <w:ind w:left="540" w:hanging="540"/>
        <w:rPr>
          <w:rFonts w:ascii="宋体" w:hAnsi="宋体"/>
          <w:sz w:val="24"/>
        </w:rPr>
      </w:pPr>
      <w:r>
        <w:rPr>
          <w:rFonts w:ascii="宋体" w:hAnsi="宋体"/>
          <w:sz w:val="24"/>
        </w:rPr>
        <w:t xml:space="preserve">   （3）成立和注册日期：</w:t>
      </w:r>
    </w:p>
    <w:p>
      <w:pPr>
        <w:spacing w:line="360" w:lineRule="auto"/>
        <w:ind w:left="540" w:hanging="540"/>
        <w:rPr>
          <w:rFonts w:ascii="宋体" w:hAnsi="宋体"/>
          <w:sz w:val="24"/>
          <w:u w:val="single"/>
        </w:rPr>
      </w:pPr>
      <w:r>
        <w:rPr>
          <w:rFonts w:ascii="宋体" w:hAnsi="宋体"/>
          <w:sz w:val="24"/>
        </w:rPr>
        <w:t xml:space="preserve">   （4）企业性质：</w:t>
      </w:r>
    </w:p>
    <w:p>
      <w:pPr>
        <w:spacing w:line="360" w:lineRule="auto"/>
        <w:ind w:left="540" w:hanging="540"/>
        <w:rPr>
          <w:rFonts w:ascii="宋体" w:hAnsi="宋体"/>
          <w:sz w:val="24"/>
        </w:rPr>
      </w:pPr>
      <w:r>
        <w:rPr>
          <w:rFonts w:ascii="宋体" w:hAnsi="宋体"/>
          <w:sz w:val="24"/>
        </w:rPr>
        <w:t xml:space="preserve">   （5）职员人数：</w:t>
      </w:r>
    </w:p>
    <w:p>
      <w:pPr>
        <w:spacing w:line="360" w:lineRule="auto"/>
        <w:ind w:left="540" w:hanging="540"/>
        <w:rPr>
          <w:rFonts w:ascii="宋体" w:hAnsi="宋体"/>
          <w:sz w:val="24"/>
        </w:rPr>
      </w:pPr>
      <w:r>
        <w:rPr>
          <w:rFonts w:ascii="宋体" w:hAnsi="宋体"/>
          <w:sz w:val="24"/>
        </w:rPr>
        <w:t xml:space="preserve">        一般工人：</w:t>
      </w:r>
    </w:p>
    <w:p>
      <w:pPr>
        <w:spacing w:line="360" w:lineRule="auto"/>
        <w:ind w:left="540" w:hanging="540"/>
        <w:rPr>
          <w:rFonts w:ascii="宋体" w:hAnsi="宋体"/>
          <w:sz w:val="24"/>
          <w:u w:val="single"/>
        </w:rPr>
      </w:pPr>
      <w:r>
        <w:rPr>
          <w:rFonts w:ascii="宋体" w:hAnsi="宋体"/>
          <w:sz w:val="24"/>
        </w:rPr>
        <w:t xml:space="preserve">        技术人员：</w:t>
      </w:r>
    </w:p>
    <w:p>
      <w:pPr>
        <w:spacing w:line="360" w:lineRule="auto"/>
        <w:ind w:left="540" w:hanging="540"/>
        <w:rPr>
          <w:rFonts w:ascii="宋体" w:hAnsi="宋体"/>
          <w:sz w:val="24"/>
        </w:rPr>
      </w:pPr>
      <w:r>
        <w:rPr>
          <w:rFonts w:ascii="宋体" w:hAnsi="宋体"/>
          <w:sz w:val="24"/>
        </w:rPr>
        <w:t xml:space="preserve">   （6）近期资产负债表（到年月日止）</w:t>
      </w:r>
    </w:p>
    <w:p>
      <w:pPr>
        <w:spacing w:line="360" w:lineRule="auto"/>
        <w:rPr>
          <w:rFonts w:ascii="宋体" w:hAnsi="宋体"/>
          <w:sz w:val="24"/>
        </w:rPr>
      </w:pPr>
      <w:r>
        <w:rPr>
          <w:rFonts w:ascii="宋体" w:hAnsi="宋体"/>
          <w:sz w:val="24"/>
        </w:rPr>
        <w:tab/>
      </w:r>
      <w:r>
        <w:rPr>
          <w:rFonts w:ascii="宋体" w:hAnsi="宋体"/>
          <w:sz w:val="24"/>
        </w:rPr>
        <w:t xml:space="preserve">     ①固定资产：</w:t>
      </w:r>
    </w:p>
    <w:p>
      <w:pPr>
        <w:spacing w:line="360" w:lineRule="auto"/>
        <w:rPr>
          <w:rFonts w:ascii="宋体" w:hAnsi="宋体"/>
          <w:sz w:val="24"/>
        </w:rPr>
      </w:pPr>
      <w:r>
        <w:rPr>
          <w:rFonts w:ascii="宋体" w:hAnsi="宋体"/>
          <w:sz w:val="24"/>
        </w:rPr>
        <w:t xml:space="preserve">          原值：</w:t>
      </w:r>
    </w:p>
    <w:p>
      <w:pPr>
        <w:spacing w:line="360" w:lineRule="auto"/>
        <w:rPr>
          <w:rFonts w:ascii="宋体" w:hAnsi="宋体"/>
          <w:sz w:val="24"/>
          <w:u w:val="single"/>
        </w:rPr>
      </w:pPr>
      <w:r>
        <w:rPr>
          <w:rFonts w:ascii="宋体" w:hAnsi="宋体"/>
          <w:sz w:val="24"/>
        </w:rPr>
        <w:t xml:space="preserve">          净值：</w:t>
      </w:r>
    </w:p>
    <w:p>
      <w:pPr>
        <w:spacing w:line="360" w:lineRule="auto"/>
        <w:ind w:firstLine="1057"/>
        <w:rPr>
          <w:rFonts w:ascii="宋体" w:hAnsi="宋体"/>
          <w:sz w:val="24"/>
        </w:rPr>
      </w:pPr>
      <w:r>
        <w:rPr>
          <w:rFonts w:ascii="宋体" w:hAnsi="宋体"/>
          <w:sz w:val="24"/>
        </w:rPr>
        <w:t>②流动资金：</w:t>
      </w:r>
    </w:p>
    <w:p>
      <w:pPr>
        <w:spacing w:line="360" w:lineRule="auto"/>
        <w:ind w:firstLine="1057"/>
        <w:rPr>
          <w:rFonts w:ascii="宋体" w:hAnsi="宋体"/>
          <w:sz w:val="24"/>
        </w:rPr>
      </w:pPr>
      <w:r>
        <w:rPr>
          <w:rFonts w:ascii="宋体" w:hAnsi="宋体"/>
          <w:sz w:val="24"/>
        </w:rPr>
        <w:t>③长期负债：</w:t>
      </w:r>
    </w:p>
    <w:p>
      <w:pPr>
        <w:spacing w:line="360" w:lineRule="auto"/>
        <w:ind w:firstLine="1057"/>
        <w:rPr>
          <w:rFonts w:ascii="宋体" w:hAnsi="宋体"/>
          <w:sz w:val="24"/>
        </w:rPr>
      </w:pPr>
      <w:r>
        <w:rPr>
          <w:rFonts w:ascii="宋体" w:hAnsi="宋体"/>
          <w:sz w:val="24"/>
        </w:rPr>
        <w:t>④短期负债：</w:t>
      </w:r>
    </w:p>
    <w:p>
      <w:pPr>
        <w:spacing w:line="360" w:lineRule="auto"/>
        <w:ind w:firstLine="1057"/>
        <w:rPr>
          <w:rFonts w:ascii="宋体" w:hAnsi="宋体"/>
          <w:sz w:val="24"/>
        </w:rPr>
      </w:pPr>
      <w:r>
        <w:rPr>
          <w:rFonts w:ascii="宋体" w:hAnsi="宋体"/>
          <w:sz w:val="24"/>
        </w:rPr>
        <w:t>⑤资金来源：</w:t>
      </w:r>
    </w:p>
    <w:p>
      <w:pPr>
        <w:spacing w:line="360" w:lineRule="auto"/>
        <w:ind w:firstLine="1057"/>
        <w:rPr>
          <w:rFonts w:ascii="宋体" w:hAnsi="宋体"/>
          <w:sz w:val="24"/>
        </w:rPr>
      </w:pPr>
      <w:r>
        <w:rPr>
          <w:rFonts w:ascii="宋体" w:hAnsi="宋体"/>
          <w:sz w:val="24"/>
        </w:rPr>
        <w:t xml:space="preserve">  自有资金：</w:t>
      </w:r>
    </w:p>
    <w:p>
      <w:pPr>
        <w:spacing w:line="360" w:lineRule="auto"/>
        <w:ind w:firstLine="1057"/>
        <w:rPr>
          <w:rFonts w:ascii="宋体" w:hAnsi="宋体"/>
          <w:sz w:val="24"/>
        </w:rPr>
      </w:pPr>
      <w:r>
        <w:rPr>
          <w:rFonts w:ascii="宋体" w:hAnsi="宋体"/>
          <w:sz w:val="24"/>
        </w:rPr>
        <w:t xml:space="preserve">  银行贷款：</w:t>
      </w:r>
    </w:p>
    <w:p>
      <w:pPr>
        <w:spacing w:line="360" w:lineRule="auto"/>
        <w:ind w:firstLine="1057"/>
        <w:rPr>
          <w:rFonts w:ascii="宋体" w:hAnsi="宋体"/>
          <w:sz w:val="24"/>
        </w:rPr>
      </w:pPr>
      <w:r>
        <w:rPr>
          <w:rFonts w:ascii="宋体" w:hAnsi="宋体"/>
          <w:sz w:val="24"/>
        </w:rPr>
        <w:t>⑥资金类型：</w:t>
      </w:r>
    </w:p>
    <w:p>
      <w:pPr>
        <w:spacing w:line="360" w:lineRule="auto"/>
        <w:ind w:firstLine="1057"/>
        <w:rPr>
          <w:rFonts w:ascii="宋体" w:hAnsi="宋体"/>
          <w:sz w:val="24"/>
        </w:rPr>
      </w:pPr>
      <w:r>
        <w:rPr>
          <w:rFonts w:ascii="宋体" w:hAnsi="宋体"/>
          <w:sz w:val="24"/>
        </w:rPr>
        <w:t xml:space="preserve">  生产资金：</w:t>
      </w:r>
    </w:p>
    <w:p>
      <w:pPr>
        <w:spacing w:line="360" w:lineRule="auto"/>
        <w:ind w:firstLine="1057"/>
        <w:rPr>
          <w:rFonts w:ascii="宋体" w:hAnsi="宋体"/>
          <w:sz w:val="24"/>
        </w:rPr>
      </w:pPr>
      <w:r>
        <w:rPr>
          <w:rFonts w:ascii="宋体" w:hAnsi="宋体"/>
          <w:sz w:val="24"/>
        </w:rPr>
        <w:t xml:space="preserve">  非生产资金：</w:t>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r>
        <w:rPr>
          <w:rFonts w:ascii="宋体" w:hAnsi="宋体"/>
          <w:b/>
          <w:sz w:val="24"/>
        </w:rPr>
        <w:t>2．制造投标货物的设施及其它情况</w:t>
      </w:r>
    </w:p>
    <w:tbl>
      <w:tblPr>
        <w:tblStyle w:val="42"/>
        <w:tblpPr w:leftFromText="180" w:rightFromText="180" w:vertAnchor="text" w:horzAnchor="page" w:tblpX="1170" w:tblpY="457"/>
        <w:tblOverlap w:val="never"/>
        <w:tblW w:w="9286" w:type="dxa"/>
        <w:tblInd w:w="0" w:type="dxa"/>
        <w:tblLayout w:type="fixed"/>
        <w:tblCellMar>
          <w:top w:w="0" w:type="dxa"/>
          <w:left w:w="10" w:type="dxa"/>
          <w:bottom w:w="0" w:type="dxa"/>
          <w:right w:w="10" w:type="dxa"/>
        </w:tblCellMar>
      </w:tblPr>
      <w:tblGrid>
        <w:gridCol w:w="2619"/>
        <w:gridCol w:w="2381"/>
        <w:gridCol w:w="2143"/>
        <w:gridCol w:w="2143"/>
      </w:tblGrid>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工厂名称和地址</w:t>
            </w: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生产的项目</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年生产能力</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职工人数</w:t>
            </w: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（1）关于制造投标货物的设施及其它情况：</w:t>
      </w:r>
    </w:p>
    <w:p>
      <w:pPr>
        <w:spacing w:line="360" w:lineRule="auto"/>
        <w:rPr>
          <w:rFonts w:ascii="宋体" w:hAnsi="宋体"/>
          <w:sz w:val="24"/>
        </w:rPr>
      </w:pPr>
    </w:p>
    <w:tbl>
      <w:tblPr>
        <w:tblStyle w:val="42"/>
        <w:tblpPr w:leftFromText="180" w:rightFromText="180" w:vertAnchor="text" w:horzAnchor="page" w:tblpX="1540" w:tblpY="468"/>
        <w:tblOverlap w:val="never"/>
        <w:tblW w:w="9126" w:type="dxa"/>
        <w:tblInd w:w="0" w:type="dxa"/>
        <w:tblLayout w:type="fixed"/>
        <w:tblCellMar>
          <w:top w:w="0" w:type="dxa"/>
          <w:left w:w="10" w:type="dxa"/>
          <w:bottom w:w="0" w:type="dxa"/>
          <w:right w:w="10" w:type="dxa"/>
        </w:tblCellMar>
      </w:tblPr>
      <w:tblGrid>
        <w:gridCol w:w="3979"/>
        <w:gridCol w:w="5147"/>
      </w:tblGrid>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制造厂家名称和地址</w:t>
            </w: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主要零部件名称</w:t>
            </w: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（2）本制造厂不生产，而须从其它制造厂购买的主要零部件：</w:t>
      </w:r>
    </w:p>
    <w:p>
      <w:pPr>
        <w:spacing w:line="360" w:lineRule="auto"/>
        <w:rPr>
          <w:rFonts w:ascii="宋体" w:hAnsi="宋体"/>
          <w:sz w:val="24"/>
        </w:rPr>
      </w:pPr>
    </w:p>
    <w:p>
      <w:pPr>
        <w:spacing w:line="360" w:lineRule="auto"/>
        <w:rPr>
          <w:rFonts w:ascii="宋体" w:hAnsi="宋体"/>
          <w:b/>
          <w:sz w:val="24"/>
        </w:rPr>
      </w:pPr>
      <w:r>
        <w:rPr>
          <w:rFonts w:ascii="宋体" w:hAnsi="宋体"/>
          <w:b/>
          <w:sz w:val="24"/>
        </w:rPr>
        <w:t>3．制造厂家在中国设厂生产此投标货物的历史（年数）：</w:t>
      </w:r>
    </w:p>
    <w:p>
      <w:pPr>
        <w:spacing w:line="360" w:lineRule="auto"/>
        <w:rPr>
          <w:rFonts w:ascii="宋体" w:hAnsi="宋体"/>
          <w:sz w:val="24"/>
          <w:u w:val="single"/>
        </w:rPr>
      </w:pPr>
    </w:p>
    <w:p>
      <w:pPr>
        <w:spacing w:line="360" w:lineRule="auto"/>
        <w:ind w:left="567" w:hanging="567"/>
        <w:rPr>
          <w:rFonts w:ascii="宋体" w:hAnsi="宋体"/>
          <w:sz w:val="24"/>
        </w:rPr>
      </w:pPr>
    </w:p>
    <w:p>
      <w:pPr>
        <w:spacing w:line="360" w:lineRule="auto"/>
        <w:ind w:left="567" w:hanging="567"/>
        <w:rPr>
          <w:rFonts w:ascii="宋体" w:hAnsi="宋体"/>
          <w:sz w:val="24"/>
          <w:u w:val="single"/>
        </w:rPr>
      </w:pPr>
    </w:p>
    <w:p>
      <w:pPr>
        <w:spacing w:line="360" w:lineRule="auto"/>
        <w:ind w:left="567" w:hanging="567"/>
        <w:rPr>
          <w:rFonts w:ascii="宋体" w:hAnsi="宋体"/>
          <w:sz w:val="24"/>
        </w:rPr>
      </w:pPr>
    </w:p>
    <w:p>
      <w:pPr>
        <w:spacing w:line="360" w:lineRule="auto"/>
        <w:rPr>
          <w:rFonts w:ascii="宋体" w:hAnsi="宋体"/>
          <w:b/>
          <w:sz w:val="24"/>
        </w:rPr>
      </w:pPr>
      <w:r>
        <w:rPr>
          <w:rFonts w:ascii="宋体" w:hAnsi="宋体"/>
          <w:b/>
          <w:sz w:val="24"/>
        </w:rPr>
        <w:t>4．最近三年该类货物主要销售给国内、外主要客户的名称和地址：</w:t>
      </w:r>
    </w:p>
    <w:tbl>
      <w:tblPr>
        <w:tblStyle w:val="42"/>
        <w:tblW w:w="8792" w:type="dxa"/>
        <w:tblInd w:w="-28" w:type="dxa"/>
        <w:tblLayout w:type="fixed"/>
        <w:tblCellMar>
          <w:top w:w="0" w:type="dxa"/>
          <w:left w:w="10" w:type="dxa"/>
          <w:bottom w:w="0" w:type="dxa"/>
          <w:right w:w="10" w:type="dxa"/>
        </w:tblCellMar>
      </w:tblPr>
      <w:tblGrid>
        <w:gridCol w:w="4915"/>
        <w:gridCol w:w="3877"/>
      </w:tblGrid>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名称和地址、联系人</w:t>
            </w: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销售项目</w:t>
            </w: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 xml:space="preserve">   出口销售额：</w:t>
      </w:r>
    </w:p>
    <w:p>
      <w:pPr>
        <w:spacing w:line="360" w:lineRule="auto"/>
        <w:rPr>
          <w:rFonts w:ascii="宋体" w:hAnsi="宋体"/>
          <w:sz w:val="24"/>
        </w:rPr>
      </w:pPr>
    </w:p>
    <w:p>
      <w:pPr>
        <w:spacing w:line="360" w:lineRule="auto"/>
        <w:rPr>
          <w:rFonts w:ascii="宋体" w:hAnsi="宋体"/>
          <w:b/>
          <w:sz w:val="24"/>
        </w:rPr>
      </w:pPr>
      <w:r>
        <w:rPr>
          <w:rFonts w:ascii="宋体" w:hAnsi="宋体"/>
          <w:b/>
          <w:sz w:val="24"/>
        </w:rPr>
        <w:t>5．近三年的年营业总额：</w:t>
      </w:r>
    </w:p>
    <w:tbl>
      <w:tblPr>
        <w:tblStyle w:val="43"/>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658"/>
        <w:gridCol w:w="1704"/>
        <w:gridCol w:w="1705"/>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Theme="minorEastAsia"/>
                <w:highlight w:val="none"/>
                <w:vertAlign w:val="baseline"/>
                <w:lang w:val="en-US" w:eastAsia="zh-CN"/>
              </w:rPr>
            </w:pPr>
            <w:r>
              <w:rPr>
                <w:rFonts w:hint="eastAsia"/>
                <w:highlight w:val="none"/>
                <w:vertAlign w:val="baseline"/>
                <w:lang w:val="en-US" w:eastAsia="zh-CN"/>
              </w:rPr>
              <w:t>序号</w:t>
            </w:r>
          </w:p>
        </w:tc>
        <w:tc>
          <w:tcPr>
            <w:tcW w:w="2658" w:type="dxa"/>
          </w:tcPr>
          <w:p>
            <w:pPr>
              <w:rPr>
                <w:rFonts w:hint="eastAsia" w:eastAsiaTheme="minorEastAsia"/>
                <w:highlight w:val="none"/>
                <w:vertAlign w:val="baseline"/>
                <w:lang w:val="en-US" w:eastAsia="zh-CN"/>
              </w:rPr>
            </w:pPr>
            <w:r>
              <w:rPr>
                <w:rFonts w:hint="eastAsia"/>
                <w:highlight w:val="none"/>
                <w:vertAlign w:val="baseline"/>
                <w:lang w:val="en-US" w:eastAsia="zh-CN"/>
              </w:rPr>
              <w:t>购买厂家</w:t>
            </w:r>
          </w:p>
        </w:tc>
        <w:tc>
          <w:tcPr>
            <w:tcW w:w="1704" w:type="dxa"/>
          </w:tcPr>
          <w:p>
            <w:pPr>
              <w:rPr>
                <w:rFonts w:hint="eastAsia" w:eastAsiaTheme="minorEastAsia"/>
                <w:highlight w:val="none"/>
                <w:vertAlign w:val="baseline"/>
                <w:lang w:val="en-US" w:eastAsia="zh-CN"/>
              </w:rPr>
            </w:pPr>
            <w:r>
              <w:rPr>
                <w:rFonts w:hint="eastAsia"/>
                <w:highlight w:val="none"/>
                <w:vertAlign w:val="baseline"/>
                <w:lang w:val="en-US" w:eastAsia="zh-CN"/>
              </w:rPr>
              <w:t>百强企业排名</w:t>
            </w:r>
          </w:p>
        </w:tc>
        <w:tc>
          <w:tcPr>
            <w:tcW w:w="1705" w:type="dxa"/>
          </w:tcPr>
          <w:p>
            <w:pPr>
              <w:rPr>
                <w:rFonts w:hint="eastAsia" w:eastAsiaTheme="minorEastAsia"/>
                <w:highlight w:val="none"/>
                <w:vertAlign w:val="baseline"/>
                <w:lang w:val="en-US" w:eastAsia="zh-CN"/>
              </w:rPr>
            </w:pPr>
            <w:r>
              <w:rPr>
                <w:rFonts w:hint="eastAsia"/>
                <w:highlight w:val="none"/>
                <w:vertAlign w:val="baseline"/>
                <w:lang w:val="en-US" w:eastAsia="zh-CN"/>
              </w:rPr>
              <w:t>购买年份</w:t>
            </w:r>
          </w:p>
        </w:tc>
        <w:tc>
          <w:tcPr>
            <w:tcW w:w="2033" w:type="dxa"/>
          </w:tcPr>
          <w:p>
            <w:pPr>
              <w:rPr>
                <w:rFonts w:hint="eastAsia" w:eastAsiaTheme="minorEastAsia"/>
                <w:highlight w:val="none"/>
                <w:vertAlign w:val="baseline"/>
                <w:lang w:val="en-US" w:eastAsia="zh-CN"/>
              </w:rPr>
            </w:pPr>
            <w:r>
              <w:rPr>
                <w:rFonts w:hint="eastAsia"/>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highlight w:val="none"/>
                <w:vertAlign w:val="baseline"/>
                <w:lang w:val="en-US" w:eastAsia="zh-CN"/>
              </w:rPr>
            </w:pPr>
            <w:r>
              <w:rPr>
                <w:rFonts w:hint="eastAsia"/>
                <w:highlight w:val="none"/>
                <w:vertAlign w:val="baseline"/>
                <w:lang w:val="en-US" w:eastAsia="zh-CN"/>
              </w:rPr>
              <w:t>1</w:t>
            </w:r>
          </w:p>
        </w:tc>
        <w:tc>
          <w:tcPr>
            <w:tcW w:w="2658" w:type="dxa"/>
          </w:tcPr>
          <w:p>
            <w:pPr>
              <w:rPr>
                <w:rFonts w:hint="eastAsia"/>
                <w:highlight w:val="none"/>
                <w:vertAlign w:val="baseline"/>
                <w:lang w:val="en-US" w:eastAsia="zh-CN"/>
              </w:rPr>
            </w:pPr>
          </w:p>
        </w:tc>
        <w:tc>
          <w:tcPr>
            <w:tcW w:w="1704" w:type="dxa"/>
          </w:tcPr>
          <w:p>
            <w:pPr>
              <w:rPr>
                <w:rFonts w:hint="eastAsia"/>
                <w:highlight w:val="none"/>
                <w:vertAlign w:val="baseline"/>
                <w:lang w:val="en-US" w:eastAsia="zh-CN"/>
              </w:rPr>
            </w:pPr>
          </w:p>
        </w:tc>
        <w:tc>
          <w:tcPr>
            <w:tcW w:w="1705" w:type="dxa"/>
          </w:tcPr>
          <w:p>
            <w:pPr>
              <w:rPr>
                <w:rFonts w:hint="eastAsia"/>
                <w:highlight w:val="none"/>
                <w:vertAlign w:val="baseline"/>
                <w:lang w:val="en-US" w:eastAsia="zh-CN"/>
              </w:rPr>
            </w:pPr>
          </w:p>
        </w:tc>
        <w:tc>
          <w:tcPr>
            <w:tcW w:w="2033" w:type="dxa"/>
          </w:tcPr>
          <w:p>
            <w:pPr>
              <w:rPr>
                <w:rFonts w:hint="eastAsia"/>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highlight w:val="none"/>
                <w:vertAlign w:val="baseline"/>
                <w:lang w:val="en-US" w:eastAsia="zh-CN"/>
              </w:rPr>
            </w:pPr>
            <w:r>
              <w:rPr>
                <w:rFonts w:hint="eastAsia"/>
                <w:highlight w:val="none"/>
                <w:vertAlign w:val="baseline"/>
                <w:lang w:val="en-US" w:eastAsia="zh-CN"/>
              </w:rPr>
              <w:t>2</w:t>
            </w:r>
          </w:p>
        </w:tc>
        <w:tc>
          <w:tcPr>
            <w:tcW w:w="2658" w:type="dxa"/>
          </w:tcPr>
          <w:p>
            <w:pPr>
              <w:rPr>
                <w:rFonts w:hint="eastAsia"/>
                <w:highlight w:val="none"/>
                <w:vertAlign w:val="baseline"/>
                <w:lang w:val="en-US" w:eastAsia="zh-CN"/>
              </w:rPr>
            </w:pPr>
          </w:p>
        </w:tc>
        <w:tc>
          <w:tcPr>
            <w:tcW w:w="1704" w:type="dxa"/>
          </w:tcPr>
          <w:p>
            <w:pPr>
              <w:rPr>
                <w:rFonts w:hint="eastAsia"/>
                <w:highlight w:val="none"/>
                <w:vertAlign w:val="baseline"/>
                <w:lang w:val="en-US" w:eastAsia="zh-CN"/>
              </w:rPr>
            </w:pPr>
          </w:p>
        </w:tc>
        <w:tc>
          <w:tcPr>
            <w:tcW w:w="1705" w:type="dxa"/>
          </w:tcPr>
          <w:p>
            <w:pPr>
              <w:rPr>
                <w:rFonts w:hint="eastAsia"/>
                <w:highlight w:val="none"/>
                <w:vertAlign w:val="baseline"/>
                <w:lang w:val="en-US" w:eastAsia="zh-CN"/>
              </w:rPr>
            </w:pPr>
          </w:p>
        </w:tc>
        <w:tc>
          <w:tcPr>
            <w:tcW w:w="2033" w:type="dxa"/>
          </w:tcPr>
          <w:p>
            <w:pPr>
              <w:rPr>
                <w:rFonts w:hint="eastAsia"/>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highlight w:val="none"/>
                <w:vertAlign w:val="baseline"/>
                <w:lang w:val="en-US" w:eastAsia="zh-CN"/>
              </w:rPr>
            </w:pPr>
            <w:r>
              <w:rPr>
                <w:rFonts w:hint="eastAsia"/>
                <w:highlight w:val="none"/>
                <w:vertAlign w:val="baseline"/>
                <w:lang w:val="en-US" w:eastAsia="zh-CN"/>
              </w:rPr>
              <w:t>3</w:t>
            </w:r>
          </w:p>
        </w:tc>
        <w:tc>
          <w:tcPr>
            <w:tcW w:w="2658" w:type="dxa"/>
          </w:tcPr>
          <w:p>
            <w:pPr>
              <w:rPr>
                <w:highlight w:val="none"/>
                <w:vertAlign w:val="baseline"/>
              </w:rPr>
            </w:pPr>
          </w:p>
        </w:tc>
        <w:tc>
          <w:tcPr>
            <w:tcW w:w="1704" w:type="dxa"/>
          </w:tcPr>
          <w:p>
            <w:pPr>
              <w:rPr>
                <w:highlight w:val="none"/>
                <w:vertAlign w:val="baseline"/>
              </w:rPr>
            </w:pPr>
          </w:p>
        </w:tc>
        <w:tc>
          <w:tcPr>
            <w:tcW w:w="1705" w:type="dxa"/>
          </w:tcPr>
          <w:p>
            <w:pPr>
              <w:rPr>
                <w:highlight w:val="none"/>
                <w:vertAlign w:val="baseline"/>
              </w:rPr>
            </w:pPr>
          </w:p>
        </w:tc>
        <w:tc>
          <w:tcPr>
            <w:tcW w:w="2033" w:type="dxa"/>
          </w:tcPr>
          <w:p>
            <w:pPr>
              <w:rPr>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highlight w:val="none"/>
                <w:vertAlign w:val="baseline"/>
                <w:lang w:val="en-US" w:eastAsia="zh-CN"/>
              </w:rPr>
            </w:pPr>
            <w:r>
              <w:rPr>
                <w:rFonts w:hint="eastAsia"/>
                <w:highlight w:val="none"/>
                <w:vertAlign w:val="baseline"/>
                <w:lang w:val="en-US" w:eastAsia="zh-CN"/>
              </w:rPr>
              <w:t>4</w:t>
            </w:r>
          </w:p>
        </w:tc>
        <w:tc>
          <w:tcPr>
            <w:tcW w:w="2658" w:type="dxa"/>
          </w:tcPr>
          <w:p>
            <w:pPr>
              <w:rPr>
                <w:highlight w:val="none"/>
                <w:vertAlign w:val="baseline"/>
              </w:rPr>
            </w:pPr>
          </w:p>
        </w:tc>
        <w:tc>
          <w:tcPr>
            <w:tcW w:w="1704" w:type="dxa"/>
          </w:tcPr>
          <w:p>
            <w:pPr>
              <w:rPr>
                <w:highlight w:val="none"/>
                <w:vertAlign w:val="baseline"/>
              </w:rPr>
            </w:pPr>
          </w:p>
        </w:tc>
        <w:tc>
          <w:tcPr>
            <w:tcW w:w="1705" w:type="dxa"/>
          </w:tcPr>
          <w:p>
            <w:pPr>
              <w:rPr>
                <w:highlight w:val="none"/>
                <w:vertAlign w:val="baseline"/>
              </w:rPr>
            </w:pPr>
          </w:p>
        </w:tc>
        <w:tc>
          <w:tcPr>
            <w:tcW w:w="2033" w:type="dxa"/>
          </w:tcPr>
          <w:p>
            <w:pPr>
              <w:rPr>
                <w:highlight w:val="none"/>
                <w:vertAlign w:val="baseline"/>
              </w:rPr>
            </w:pPr>
          </w:p>
        </w:tc>
      </w:tr>
    </w:tbl>
    <w:p>
      <w:pPr>
        <w:rPr>
          <w:rFonts w:hint="eastAsia"/>
          <w:highlight w:val="none"/>
          <w:lang w:val="en-US" w:eastAsia="zh-CN"/>
        </w:rPr>
      </w:pPr>
      <w:r>
        <w:rPr>
          <w:rFonts w:hint="eastAsia"/>
          <w:highlight w:val="none"/>
          <w:lang w:val="en-US" w:eastAsia="zh-CN"/>
        </w:rPr>
        <w:t>注：</w:t>
      </w:r>
    </w:p>
    <w:p>
      <w:pPr>
        <w:rPr>
          <w:rFonts w:hint="eastAsia"/>
          <w:highlight w:val="none"/>
          <w:lang w:val="en-US" w:eastAsia="zh-CN"/>
        </w:rPr>
      </w:pPr>
      <w:r>
        <w:rPr>
          <w:rFonts w:hint="eastAsia"/>
          <w:highlight w:val="none"/>
          <w:lang w:val="en-US" w:eastAsia="zh-CN"/>
        </w:rPr>
        <w:t>1、提供的业绩名单需要提供合同和发票复印件。</w:t>
      </w:r>
    </w:p>
    <w:p>
      <w:pPr>
        <w:rPr>
          <w:rFonts w:ascii="宋体" w:hAnsi="宋体"/>
          <w:sz w:val="24"/>
          <w:highlight w:val="none"/>
          <w:lang w:val="en-US"/>
        </w:rPr>
      </w:pPr>
      <w:r>
        <w:rPr>
          <w:rFonts w:hint="eastAsia" w:ascii="宋体" w:hAnsi="宋体" w:cs="宋体"/>
          <w:kern w:val="0"/>
          <w:sz w:val="21"/>
          <w:szCs w:val="21"/>
          <w:highlight w:val="none"/>
          <w:lang w:val="en-US" w:eastAsia="zh-CN" w:bidi="ar-SA"/>
        </w:rPr>
        <w:t>2、业绩为中国线缆产业100强的客户（以2020年中国电线电缆网年公布的单位名单为准，见附件）。</w:t>
      </w:r>
    </w:p>
    <w:p>
      <w:pPr>
        <w:spacing w:line="360" w:lineRule="auto"/>
        <w:rPr>
          <w:rFonts w:ascii="宋体" w:hAnsi="宋体"/>
          <w:b/>
          <w:sz w:val="24"/>
        </w:rPr>
      </w:pPr>
    </w:p>
    <w:p>
      <w:pPr>
        <w:spacing w:line="360" w:lineRule="auto"/>
        <w:rPr>
          <w:rFonts w:ascii="宋体" w:hAnsi="宋体"/>
          <w:b/>
          <w:sz w:val="24"/>
        </w:rPr>
      </w:pPr>
      <w:r>
        <w:rPr>
          <w:rFonts w:ascii="宋体" w:hAnsi="宋体"/>
          <w:b/>
          <w:sz w:val="24"/>
        </w:rPr>
        <w:t>6．易损件供应商的名称和地址：</w:t>
      </w:r>
    </w:p>
    <w:tbl>
      <w:tblPr>
        <w:tblStyle w:val="42"/>
        <w:tblW w:w="8747" w:type="dxa"/>
        <w:tblInd w:w="-28" w:type="dxa"/>
        <w:tblLayout w:type="fixed"/>
        <w:tblCellMar>
          <w:top w:w="0" w:type="dxa"/>
          <w:left w:w="10" w:type="dxa"/>
          <w:bottom w:w="0" w:type="dxa"/>
          <w:right w:w="10" w:type="dxa"/>
        </w:tblCellMar>
      </w:tblPr>
      <w:tblGrid>
        <w:gridCol w:w="5030"/>
        <w:gridCol w:w="3717"/>
      </w:tblGrid>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部件名称</w:t>
            </w: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供应商名称和地址</w:t>
            </w: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bl>
    <w:p>
      <w:pPr>
        <w:spacing w:line="360" w:lineRule="auto"/>
        <w:rPr>
          <w:rFonts w:ascii="宋体" w:hAnsi="宋体"/>
          <w:b/>
          <w:sz w:val="24"/>
        </w:rPr>
      </w:pPr>
    </w:p>
    <w:p>
      <w:pPr>
        <w:spacing w:line="360" w:lineRule="auto"/>
        <w:rPr>
          <w:rFonts w:ascii="宋体" w:hAnsi="宋体"/>
          <w:b/>
          <w:sz w:val="24"/>
        </w:rPr>
      </w:pPr>
      <w:r>
        <w:rPr>
          <w:rFonts w:ascii="宋体" w:hAnsi="宋体"/>
          <w:b/>
          <w:sz w:val="24"/>
        </w:rPr>
        <w:t>7．开户银行名称和地址：</w:t>
      </w:r>
    </w:p>
    <w:p>
      <w:pPr>
        <w:spacing w:line="360" w:lineRule="auto"/>
        <w:rPr>
          <w:rFonts w:ascii="宋体" w:hAnsi="宋体"/>
          <w:b/>
          <w:sz w:val="24"/>
        </w:rPr>
      </w:pPr>
      <w:r>
        <w:rPr>
          <w:rFonts w:ascii="宋体" w:hAnsi="宋体"/>
          <w:b/>
          <w:sz w:val="24"/>
        </w:rPr>
        <w:t>8．其它情况：</w:t>
      </w:r>
    </w:p>
    <w:p>
      <w:pPr>
        <w:spacing w:line="360" w:lineRule="auto"/>
        <w:rPr>
          <w:rFonts w:ascii="宋体" w:hAnsi="宋体"/>
          <w:sz w:val="24"/>
        </w:rPr>
      </w:pPr>
      <w:r>
        <w:rPr>
          <w:rFonts w:ascii="宋体" w:hAnsi="宋体"/>
          <w:sz w:val="24"/>
        </w:rPr>
        <w:tab/>
      </w:r>
      <w:r>
        <w:rPr>
          <w:rFonts w:ascii="宋体" w:hAnsi="宋体"/>
          <w:sz w:val="24"/>
        </w:rPr>
        <w:t>兹证明上述声明是真实、正确的，并提供了全部能提供的资料和数据，我们同意遵照贵方要求提交有关证明文件。</w:t>
      </w:r>
    </w:p>
    <w:p>
      <w:pPr>
        <w:spacing w:line="360" w:lineRule="auto"/>
        <w:rPr>
          <w:rFonts w:ascii="宋体" w:hAnsi="宋体"/>
          <w:sz w:val="24"/>
        </w:rPr>
      </w:pPr>
      <w:r>
        <w:rPr>
          <w:rFonts w:ascii="宋体" w:hAnsi="宋体"/>
          <w:sz w:val="24"/>
        </w:rPr>
        <w:tab/>
      </w:r>
      <w:r>
        <w:rPr>
          <w:rFonts w:ascii="宋体" w:hAnsi="宋体"/>
          <w:sz w:val="24"/>
        </w:rPr>
        <w:t xml:space="preserve">制造商名称：  </w:t>
      </w:r>
    </w:p>
    <w:p>
      <w:pPr>
        <w:spacing w:line="360" w:lineRule="auto"/>
        <w:rPr>
          <w:rFonts w:ascii="宋体" w:hAnsi="宋体"/>
          <w:sz w:val="24"/>
        </w:rPr>
      </w:pPr>
      <w:r>
        <w:rPr>
          <w:rFonts w:ascii="宋体" w:hAnsi="宋体"/>
          <w:sz w:val="24"/>
        </w:rPr>
        <w:tab/>
      </w:r>
      <w:r>
        <w:rPr>
          <w:rFonts w:ascii="宋体" w:hAnsi="宋体"/>
          <w:sz w:val="24"/>
        </w:rPr>
        <w:t>法定代表人或授权代表签字：</w:t>
      </w:r>
    </w:p>
    <w:p>
      <w:pPr>
        <w:spacing w:line="360" w:lineRule="auto"/>
        <w:rPr>
          <w:rFonts w:ascii="宋体" w:hAnsi="宋体"/>
          <w:sz w:val="24"/>
        </w:rPr>
      </w:pPr>
      <w:r>
        <w:rPr>
          <w:rFonts w:ascii="宋体" w:hAnsi="宋体"/>
          <w:sz w:val="24"/>
        </w:rPr>
        <w:tab/>
      </w:r>
      <w:r>
        <w:rPr>
          <w:rFonts w:ascii="宋体" w:hAnsi="宋体"/>
          <w:sz w:val="24"/>
        </w:rPr>
        <w:t xml:space="preserve">签字人职务：  </w:t>
      </w:r>
    </w:p>
    <w:p>
      <w:pPr>
        <w:spacing w:line="360" w:lineRule="auto"/>
        <w:rPr>
          <w:rFonts w:ascii="宋体" w:hAnsi="宋体"/>
          <w:sz w:val="24"/>
        </w:rPr>
      </w:pPr>
      <w:r>
        <w:rPr>
          <w:rFonts w:ascii="宋体" w:hAnsi="宋体"/>
          <w:sz w:val="24"/>
        </w:rPr>
        <w:tab/>
      </w:r>
      <w:r>
        <w:rPr>
          <w:rFonts w:ascii="宋体" w:hAnsi="宋体"/>
          <w:sz w:val="24"/>
        </w:rPr>
        <w:t>传 真／电 话：</w:t>
      </w:r>
    </w:p>
    <w:p>
      <w:pPr>
        <w:spacing w:line="360" w:lineRule="auto"/>
        <w:rPr>
          <w:rFonts w:ascii="宋体" w:hAnsi="宋体"/>
          <w:sz w:val="24"/>
          <w:u w:val="single"/>
        </w:rPr>
      </w:pPr>
      <w:r>
        <w:rPr>
          <w:rFonts w:ascii="宋体" w:hAnsi="宋体"/>
          <w:sz w:val="24"/>
        </w:rPr>
        <w:tab/>
      </w:r>
      <w:r>
        <w:rPr>
          <w:rFonts w:ascii="宋体" w:hAnsi="宋体"/>
          <w:sz w:val="24"/>
        </w:rPr>
        <w:t>日        期：</w:t>
      </w:r>
    </w:p>
    <w:p>
      <w:pPr>
        <w:spacing w:line="360" w:lineRule="auto"/>
        <w:rPr>
          <w:rFonts w:ascii="宋体" w:hAnsi="宋体"/>
          <w:sz w:val="24"/>
        </w:rPr>
      </w:pPr>
      <w:r>
        <w:rPr>
          <w:rFonts w:ascii="宋体" w:hAnsi="宋体"/>
          <w:sz w:val="24"/>
        </w:rPr>
        <w:tab/>
      </w:r>
      <w:r>
        <w:rPr>
          <w:rFonts w:ascii="宋体" w:hAnsi="宋体"/>
          <w:sz w:val="24"/>
        </w:rPr>
        <w:t>公        章：</w:t>
      </w:r>
    </w:p>
    <w:p>
      <w:pPr>
        <w:spacing w:line="360" w:lineRule="auto"/>
        <w:rPr>
          <w:rFonts w:ascii="宋体" w:hAnsi="宋体"/>
          <w:bCs/>
          <w:sz w:val="28"/>
        </w:rPr>
      </w:pPr>
    </w:p>
    <w:p>
      <w:pPr>
        <w:spacing w:line="360" w:lineRule="auto"/>
        <w:ind w:left="945" w:hanging="1050"/>
        <w:rPr>
          <w:rFonts w:ascii="宋体" w:hAnsi="宋体"/>
          <w:bCs/>
          <w:sz w:val="28"/>
        </w:rPr>
      </w:pPr>
      <w:r>
        <w:br w:type="page"/>
      </w:r>
    </w:p>
    <w:p>
      <w:pPr>
        <w:jc w:val="center"/>
        <w:rPr>
          <w:sz w:val="24"/>
        </w:rPr>
      </w:pPr>
      <w:r>
        <w:rPr>
          <w:sz w:val="24"/>
        </w:rPr>
        <w:t>10.4类似销售业绩</w:t>
      </w:r>
    </w:p>
    <w:p>
      <w:pPr>
        <w:spacing w:line="360" w:lineRule="auto"/>
        <w:jc w:val="center"/>
        <w:rPr>
          <w:rFonts w:ascii="宋体" w:hAnsi="宋体"/>
          <w:bCs/>
          <w:sz w:val="28"/>
        </w:rPr>
      </w:pPr>
      <w:r>
        <w:rPr>
          <w:rFonts w:hint="eastAsia" w:ascii="宋体" w:hAnsi="宋体"/>
          <w:bCs/>
          <w:sz w:val="28"/>
        </w:rPr>
        <w:t>合同</w:t>
      </w:r>
      <w:r>
        <w:rPr>
          <w:rFonts w:hint="eastAsia" w:ascii="宋体" w:hAnsi="宋体"/>
          <w:bCs/>
          <w:sz w:val="28"/>
          <w:lang w:val="en-US" w:eastAsia="zh-CN"/>
        </w:rPr>
        <w:t>和</w:t>
      </w:r>
      <w:r>
        <w:rPr>
          <w:rFonts w:hint="eastAsia" w:ascii="宋体" w:hAnsi="宋体"/>
          <w:bCs/>
          <w:sz w:val="28"/>
        </w:rPr>
        <w:t>最终用户出具的验收证明复印件；</w:t>
      </w: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jc w:val="center"/>
        <w:rPr>
          <w:sz w:val="24"/>
        </w:rPr>
      </w:pPr>
      <w:bookmarkStart w:id="107" w:name="_Toc263773428"/>
      <w:bookmarkEnd w:id="107"/>
      <w:bookmarkStart w:id="108" w:name="_Toc238612972"/>
      <w:bookmarkEnd w:id="108"/>
      <w:bookmarkStart w:id="109" w:name="_Toc252778144"/>
      <w:bookmarkEnd w:id="109"/>
      <w:r>
        <w:rPr>
          <w:bCs/>
          <w:sz w:val="24"/>
        </w:rPr>
        <w:t>10.5</w:t>
      </w:r>
      <w:r>
        <w:rPr>
          <w:sz w:val="24"/>
        </w:rPr>
        <w:t xml:space="preserve"> 供应商主数据明细表</w:t>
      </w:r>
    </w:p>
    <w:tbl>
      <w:tblPr>
        <w:tblStyle w:val="42"/>
        <w:tblW w:w="8952" w:type="dxa"/>
        <w:tblInd w:w="-108" w:type="dxa"/>
        <w:tblLayout w:type="fixed"/>
        <w:tblCellMar>
          <w:top w:w="0" w:type="dxa"/>
          <w:left w:w="10" w:type="dxa"/>
          <w:bottom w:w="0" w:type="dxa"/>
          <w:right w:w="10" w:type="dxa"/>
        </w:tblCellMar>
      </w:tblPr>
      <w:tblGrid>
        <w:gridCol w:w="2892"/>
        <w:gridCol w:w="1692"/>
        <w:gridCol w:w="3037"/>
        <w:gridCol w:w="1331"/>
      </w:tblGrid>
      <w:tr>
        <w:tblPrEx>
          <w:tblLayout w:type="fixed"/>
          <w:tblCellMar>
            <w:top w:w="0" w:type="dxa"/>
            <w:left w:w="10" w:type="dxa"/>
            <w:bottom w:w="0" w:type="dxa"/>
            <w:right w:w="10" w:type="dxa"/>
          </w:tblCellMar>
        </w:tblPrEx>
        <w:trPr>
          <w:trHeight w:val="353" w:hRule="atLeast"/>
        </w:trPr>
        <w:tc>
          <w:tcPr>
            <w:tcW w:w="4584" w:type="dxa"/>
            <w:gridSpan w:val="2"/>
            <w:tcBorders>
              <w:top w:val="nil"/>
              <w:left w:val="nil"/>
              <w:bottom w:val="single" w:color="000000" w:sz="4" w:space="0"/>
              <w:right w:val="nil"/>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填报单位（盖章）： </w:t>
            </w:r>
          </w:p>
        </w:tc>
        <w:tc>
          <w:tcPr>
            <w:tcW w:w="3037"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c>
          <w:tcPr>
            <w:tcW w:w="1331"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4"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供应商名称 </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企业法人营业执照号</w:t>
            </w:r>
          </w:p>
        </w:tc>
        <w:tc>
          <w:tcPr>
            <w:tcW w:w="133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详细地址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税务登记证号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7"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邮政编码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组织机构代码证号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720"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企业性质（国有或非国有）</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特殊产品生产经营许可证号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r>
        <w:tblPrEx>
          <w:tblLayout w:type="fixed"/>
          <w:tblCellMar>
            <w:top w:w="0" w:type="dxa"/>
            <w:left w:w="10" w:type="dxa"/>
            <w:bottom w:w="0" w:type="dxa"/>
            <w:right w:w="10" w:type="dxa"/>
          </w:tblCellMar>
        </w:tblPrEx>
        <w:trPr>
          <w:trHeight w:val="403"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城市所在地</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特殊产品运输及仓储许可证号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6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邮政信箱</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质量体系认证情况</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55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使用的语言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中文</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97"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与供应商交易所使用的货币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人民币</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企业法人代表身份证/护照号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联系人姓名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69"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业务联系人固定电话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1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业务联系人移动电话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1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left"/>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收款银行所在国家</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中国</w:t>
            </w:r>
          </w:p>
        </w:tc>
      </w:tr>
      <w:tr>
        <w:tblPrEx>
          <w:tblLayout w:type="fixed"/>
          <w:tblCellMar>
            <w:top w:w="0" w:type="dxa"/>
            <w:left w:w="10" w:type="dxa"/>
            <w:bottom w:w="0" w:type="dxa"/>
            <w:right w:w="10" w:type="dxa"/>
          </w:tblCellMar>
        </w:tblPrEx>
        <w:trPr>
          <w:trHeight w:val="36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公司E-mail</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收款银行所在城市</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6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公司网址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开户行名称</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56"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注册资金</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开户行帐号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bl>
    <w:p>
      <w:pPr>
        <w:spacing w:line="360" w:lineRule="auto"/>
        <w:ind w:firstLine="480"/>
        <w:rPr>
          <w:rFonts w:ascii="宋体" w:hAnsi="宋体"/>
          <w:bCs/>
          <w:sz w:val="24"/>
          <w:u w:val="single"/>
        </w:rPr>
      </w:pPr>
    </w:p>
    <w:p>
      <w:pPr>
        <w:spacing w:line="360" w:lineRule="auto"/>
        <w:ind w:firstLine="480"/>
        <w:rPr>
          <w:rFonts w:ascii="宋体" w:hAnsi="宋体"/>
          <w:bCs/>
          <w:sz w:val="24"/>
        </w:rPr>
      </w:pPr>
      <w:r>
        <w:rPr>
          <w:rFonts w:ascii="宋体" w:hAnsi="宋体"/>
          <w:bCs/>
          <w:sz w:val="24"/>
        </w:rPr>
        <w:t>注：以上表格供应商没有的内容可不填</w:t>
      </w: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r>
        <w:br w:type="page"/>
      </w:r>
    </w:p>
    <w:p>
      <w:pPr>
        <w:rPr>
          <w:sz w:val="24"/>
        </w:rPr>
      </w:pPr>
      <w:r>
        <w:rPr>
          <w:sz w:val="24"/>
        </w:rPr>
        <w:t>10.6有关材料的复印件</w:t>
      </w:r>
    </w:p>
    <w:p>
      <w:pPr>
        <w:spacing w:line="360" w:lineRule="auto"/>
        <w:ind w:firstLine="480"/>
        <w:rPr>
          <w:rFonts w:ascii="宋体" w:hAnsi="宋体"/>
          <w:bCs/>
          <w:sz w:val="24"/>
        </w:rPr>
      </w:pPr>
    </w:p>
    <w:p>
      <w:pPr>
        <w:spacing w:line="360" w:lineRule="auto"/>
        <w:ind w:firstLine="480"/>
        <w:rPr>
          <w:rFonts w:ascii="宋体" w:hAnsi="宋体"/>
          <w:bCs/>
          <w:sz w:val="24"/>
        </w:rPr>
      </w:pPr>
      <w:r>
        <w:rPr>
          <w:rFonts w:hint="eastAsia" w:ascii="宋体" w:hAnsi="宋体"/>
          <w:bCs/>
          <w:sz w:val="24"/>
        </w:rPr>
        <w:t>招标文件中规定投标人须提供的有关材料的复印件，加盖投标单位公章。</w:t>
      </w:r>
    </w:p>
    <w:p>
      <w:pPr>
        <w:spacing w:line="360" w:lineRule="auto"/>
        <w:ind w:firstLine="600"/>
        <w:rPr>
          <w:rFonts w:ascii="宋体" w:hAnsi="宋体"/>
          <w:bCs/>
          <w:sz w:val="24"/>
        </w:rPr>
      </w:pPr>
      <w:r>
        <w:rPr>
          <w:rFonts w:hint="eastAsia" w:ascii="宋体" w:hAnsi="宋体"/>
          <w:bCs/>
          <w:sz w:val="24"/>
        </w:rPr>
        <w:t>1、</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2、</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3、</w:t>
      </w:r>
      <w:r>
        <w:rPr>
          <w:rFonts w:ascii="宋体" w:hAnsi="宋体"/>
          <w:bCs/>
          <w:sz w:val="24"/>
        </w:rPr>
        <w:t>……………………</w:t>
      </w:r>
    </w:p>
    <w:p>
      <w:pPr>
        <w:spacing w:line="360" w:lineRule="auto"/>
        <w:ind w:left="598"/>
        <w:rPr>
          <w:rFonts w:ascii="宋体" w:hAnsi="宋体"/>
          <w:bCs/>
          <w:sz w:val="24"/>
        </w:rPr>
      </w:pPr>
    </w:p>
    <w:p>
      <w:pPr>
        <w:spacing w:line="360" w:lineRule="auto"/>
        <w:ind w:firstLine="600"/>
        <w:rPr>
          <w:rFonts w:ascii="宋体" w:hAnsi="宋体"/>
          <w:bCs/>
          <w:sz w:val="24"/>
        </w:rPr>
      </w:pPr>
      <w:r>
        <w:rPr>
          <w:rFonts w:hint="eastAsia" w:ascii="宋体" w:hAnsi="宋体"/>
          <w:bCs/>
          <w:sz w:val="24"/>
        </w:rPr>
        <w:t>4、</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5、</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6、</w:t>
      </w:r>
      <w:r>
        <w:rPr>
          <w:rFonts w:ascii="宋体" w:hAnsi="宋体"/>
          <w:bCs/>
          <w:sz w:val="24"/>
        </w:rPr>
        <w:t>……………………</w:t>
      </w:r>
    </w:p>
    <w:p>
      <w:pPr>
        <w:spacing w:line="360" w:lineRule="auto"/>
        <w:ind w:firstLine="600"/>
        <w:rPr>
          <w:rFonts w:ascii="宋体" w:hAnsi="宋体"/>
          <w:bCs/>
          <w:sz w:val="24"/>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jc w:val="center"/>
        <w:rPr>
          <w:rFonts w:ascii="宋体" w:hAnsi="宋体"/>
          <w:bCs/>
          <w:sz w:val="30"/>
        </w:rPr>
      </w:pPr>
    </w:p>
    <w:p>
      <w:pPr>
        <w:jc w:val="center"/>
        <w:rPr>
          <w:sz w:val="28"/>
          <w:szCs w:val="28"/>
        </w:rPr>
      </w:pPr>
      <w:bookmarkStart w:id="110" w:name="_Toc252778145"/>
      <w:bookmarkEnd w:id="110"/>
      <w:r>
        <w:br w:type="page"/>
      </w:r>
    </w:p>
    <w:p>
      <w:pPr>
        <w:jc w:val="center"/>
        <w:rPr>
          <w:sz w:val="28"/>
          <w:szCs w:val="28"/>
        </w:rPr>
      </w:pPr>
      <w:r>
        <w:rPr>
          <w:sz w:val="28"/>
          <w:szCs w:val="28"/>
        </w:rPr>
        <w:t>11.招标文件规定或投标人认为应提供的其它材料</w:t>
      </w: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r>
        <w:br w:type="page"/>
      </w:r>
    </w:p>
    <w:p>
      <w:pPr>
        <w:pStyle w:val="36"/>
      </w:pPr>
      <w:bookmarkStart w:id="111" w:name="_Toc42003723"/>
      <w:bookmarkEnd w:id="111"/>
      <w:bookmarkStart w:id="112" w:name="_Toc69378304"/>
      <w:r>
        <w:t>第六部分 评标标准</w:t>
      </w:r>
      <w:bookmarkEnd w:id="112"/>
    </w:p>
    <w:p>
      <w:pPr>
        <w:spacing w:line="440" w:lineRule="exact"/>
        <w:rPr>
          <w:b/>
          <w:bCs/>
          <w:sz w:val="24"/>
        </w:rPr>
      </w:pPr>
      <w:bookmarkStart w:id="113" w:name="_Toc489884565"/>
      <w:bookmarkEnd w:id="113"/>
      <w:bookmarkStart w:id="114" w:name="_Toc446956417"/>
      <w:bookmarkEnd w:id="114"/>
      <w:bookmarkStart w:id="115" w:name="_Toc497382584"/>
      <w:bookmarkEnd w:id="115"/>
      <w:r>
        <w:rPr>
          <w:b/>
          <w:bCs/>
          <w:sz w:val="24"/>
        </w:rPr>
        <w:t>一、符合性审查</w:t>
      </w:r>
    </w:p>
    <w:tbl>
      <w:tblPr>
        <w:tblStyle w:val="42"/>
        <w:tblW w:w="8522" w:type="dxa"/>
        <w:tblInd w:w="-108" w:type="dxa"/>
        <w:tblLayout w:type="fixed"/>
        <w:tblCellMar>
          <w:top w:w="0" w:type="dxa"/>
          <w:left w:w="10" w:type="dxa"/>
          <w:bottom w:w="0" w:type="dxa"/>
          <w:right w:w="10" w:type="dxa"/>
        </w:tblCellMar>
      </w:tblPr>
      <w:tblGrid>
        <w:gridCol w:w="606"/>
        <w:gridCol w:w="1253"/>
        <w:gridCol w:w="4169"/>
        <w:gridCol w:w="2494"/>
      </w:tblGrid>
      <w:tr>
        <w:tblPrEx>
          <w:tblLayout w:type="fixed"/>
          <w:tblCellMar>
            <w:top w:w="0" w:type="dxa"/>
            <w:left w:w="10" w:type="dxa"/>
            <w:bottom w:w="0" w:type="dxa"/>
            <w:right w:w="10" w:type="dxa"/>
          </w:tblCellMar>
        </w:tblPrEx>
        <w:trPr>
          <w:trHeight w:val="67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bookmarkStart w:id="116" w:name="_Toc23170849"/>
            <w:bookmarkEnd w:id="116"/>
            <w:bookmarkStart w:id="117" w:name="_Toc23168025"/>
            <w:bookmarkEnd w:id="117"/>
            <w:r>
              <w:rPr>
                <w:szCs w:val="21"/>
              </w:rPr>
              <w:t>序号</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项目内容</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合格条件</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评审依据</w:t>
            </w:r>
          </w:p>
        </w:tc>
      </w:tr>
      <w:tr>
        <w:tblPrEx>
          <w:tblLayout w:type="fixed"/>
          <w:tblCellMar>
            <w:top w:w="0" w:type="dxa"/>
            <w:left w:w="10" w:type="dxa"/>
            <w:bottom w:w="0" w:type="dxa"/>
            <w:right w:w="10" w:type="dxa"/>
          </w:tblCellMar>
        </w:tblPrEx>
        <w:trPr>
          <w:trHeight w:val="146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1</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rFonts w:hint="default" w:eastAsia="宋体"/>
                <w:szCs w:val="21"/>
                <w:lang w:val="en-US" w:eastAsia="zh-CN"/>
              </w:rPr>
            </w:pPr>
            <w:r>
              <w:rPr>
                <w:rFonts w:hint="eastAsia"/>
                <w:szCs w:val="21"/>
                <w:lang w:val="en-US" w:eastAsia="zh-CN"/>
              </w:rPr>
              <w:t>制造能力</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具备精密设备制造能力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能够提供机械制造加工设备明细，提供大型数控加工中心和自动大功率激光切割设备证明。</w:t>
            </w:r>
          </w:p>
        </w:tc>
      </w:tr>
      <w:tr>
        <w:tblPrEx>
          <w:tblLayout w:type="fixed"/>
          <w:tblCellMar>
            <w:top w:w="0" w:type="dxa"/>
            <w:left w:w="10" w:type="dxa"/>
            <w:bottom w:w="0" w:type="dxa"/>
            <w:right w:w="10" w:type="dxa"/>
          </w:tblCellMar>
        </w:tblPrEx>
        <w:trPr>
          <w:trHeight w:val="618"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2</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设备检验</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具备设备质量和精度检验能力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能够提供设备精度检验设备证明</w:t>
            </w:r>
          </w:p>
        </w:tc>
      </w:tr>
    </w:tbl>
    <w:p>
      <w:pPr>
        <w:spacing w:line="400" w:lineRule="exact"/>
        <w:rPr>
          <w:rFonts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特别提醒：以上是资格审查内容，以上有任何一条不满足的或未提供相应的评审依据的投标方将被视为废标。</w:t>
      </w:r>
    </w:p>
    <w:p>
      <w:pPr>
        <w:pStyle w:val="31"/>
        <w:rPr>
          <w:rFonts w:ascii="宋体" w:hAnsi="宋体"/>
          <w:color w:val="000000" w:themeColor="text1"/>
          <w14:textFill>
            <w14:solidFill>
              <w14:schemeClr w14:val="tx1"/>
            </w14:solidFill>
          </w14:textFill>
        </w:rPr>
      </w:pPr>
      <w:bookmarkStart w:id="118" w:name="_Toc42003724"/>
      <w:bookmarkEnd w:id="118"/>
      <w:r>
        <w:rPr>
          <w:rFonts w:hint="eastAsia" w:ascii="宋体" w:hAnsi="宋体"/>
          <w:color w:val="000000" w:themeColor="text1"/>
          <w14:textFill>
            <w14:solidFill>
              <w14:schemeClr w14:val="tx1"/>
            </w14:solidFill>
          </w14:textFill>
        </w:rPr>
        <w:t>同时，发生下列情况之一的，其投标被视为无效投标：</w:t>
      </w:r>
    </w:p>
    <w:p>
      <w:pPr>
        <w:spacing w:line="46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）投标总价中不得缺漏招标文件所要求的内容，否则，评标时将有效投标中该项内容的最高价计入其投标总价。缺漏部分中标后须提供，且中标价以投标报价为准。若投标人不同意的；</w:t>
      </w:r>
    </w:p>
    <w:p>
      <w:pPr>
        <w:spacing w:line="460" w:lineRule="exact"/>
        <w:rPr>
          <w:rFonts w:ascii="宋体" w:hAnsi="宋体"/>
          <w:sz w:val="24"/>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提供了多套投标方案或提交了可调整</w:t>
      </w:r>
      <w:r>
        <w:rPr>
          <w:rFonts w:hint="eastAsia" w:ascii="宋体" w:hAnsi="宋体"/>
          <w:sz w:val="24"/>
        </w:rPr>
        <w:t>的报价；</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3</w:t>
      </w:r>
      <w:r>
        <w:rPr>
          <w:rFonts w:ascii="宋体" w:hAnsi="宋体"/>
          <w:sz w:val="24"/>
        </w:rPr>
        <w:t>)</w:t>
      </w:r>
      <w:r>
        <w:rPr>
          <w:rFonts w:hint="eastAsia" w:ascii="宋体" w:hAnsi="宋体"/>
          <w:sz w:val="24"/>
        </w:rPr>
        <w:t>初审中，投标人不同意对其算术计算错误的更正；</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4</w:t>
      </w:r>
      <w:r>
        <w:rPr>
          <w:rFonts w:ascii="宋体" w:hAnsi="宋体"/>
          <w:sz w:val="24"/>
        </w:rPr>
        <w:t>)</w:t>
      </w:r>
      <w:r>
        <w:rPr>
          <w:rFonts w:hint="eastAsia" w:ascii="宋体" w:hAnsi="宋体"/>
          <w:sz w:val="24"/>
        </w:rPr>
        <w:t>投标有效期不足的；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5</w:t>
      </w:r>
      <w:r>
        <w:rPr>
          <w:rFonts w:ascii="宋体" w:hAnsi="宋体"/>
          <w:sz w:val="24"/>
        </w:rPr>
        <w:t>)</w:t>
      </w:r>
      <w:r>
        <w:rPr>
          <w:rFonts w:hint="eastAsia" w:ascii="宋体" w:hAnsi="宋体"/>
          <w:sz w:val="24"/>
        </w:rPr>
        <w:t>没有按招标文件要求签字、签章的，或签字（签章）人无法定代表人有效委托的；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6</w:t>
      </w:r>
      <w:r>
        <w:rPr>
          <w:rFonts w:ascii="宋体" w:hAnsi="宋体"/>
          <w:sz w:val="24"/>
        </w:rPr>
        <w:t>)</w:t>
      </w:r>
      <w:r>
        <w:rPr>
          <w:rFonts w:hint="eastAsia" w:ascii="宋体" w:hAnsi="宋体"/>
          <w:sz w:val="24"/>
        </w:rPr>
        <w:t>技术文件技术规格中的响应与事实不符或虚假投标的；</w:t>
      </w:r>
    </w:p>
    <w:p>
      <w:pPr>
        <w:spacing w:line="460" w:lineRule="exact"/>
        <w:jc w:val="left"/>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）招标文件规定的其它无效投标情形。</w:t>
      </w:r>
    </w:p>
    <w:p>
      <w:pPr>
        <w:spacing w:line="440" w:lineRule="exact"/>
        <w:rPr>
          <w:b/>
          <w:bCs/>
          <w:sz w:val="24"/>
        </w:rPr>
      </w:pPr>
      <w:r>
        <w:rPr>
          <w:b/>
          <w:bCs/>
          <w:sz w:val="24"/>
        </w:rPr>
        <w:t>二、评标办法及评标细则</w:t>
      </w:r>
    </w:p>
    <w:p>
      <w:pPr>
        <w:spacing w:line="360" w:lineRule="auto"/>
        <w:rPr>
          <w:b/>
          <w:sz w:val="24"/>
        </w:rPr>
      </w:pPr>
      <w:r>
        <w:rPr>
          <w:b/>
          <w:sz w:val="24"/>
        </w:rPr>
        <w:t>1、评标办法</w:t>
      </w:r>
    </w:p>
    <w:p>
      <w:pPr>
        <w:spacing w:line="360" w:lineRule="auto"/>
        <w:ind w:firstLine="480"/>
        <w:rPr>
          <w:sz w:val="24"/>
        </w:rPr>
      </w:pPr>
      <w:r>
        <w:rPr>
          <w:sz w:val="24"/>
        </w:rPr>
        <w:t>本次评标采用综合评分法</w:t>
      </w:r>
      <w:r>
        <w:rPr>
          <w:rFonts w:hint="eastAsia" w:ascii="宋体" w:hAnsi="宋体"/>
          <w:sz w:val="24"/>
        </w:rPr>
        <w:t>（满分100分）</w:t>
      </w:r>
      <w:r>
        <w:rPr>
          <w:sz w:val="24"/>
        </w:rPr>
        <w:t>。开标后，评标委员会首先对投标文件进行初审和资格审查，所有对招标文件有实质偏离的投标文</w:t>
      </w:r>
      <w:r>
        <w:rPr>
          <w:rFonts w:hint="eastAsia" w:ascii="宋体" w:hAnsi="宋体"/>
          <w:sz w:val="24"/>
        </w:rPr>
        <w:t>件将被视为废标。评标委员会将对通过初审和资格审查的投标文件进行评审和比较，</w:t>
      </w:r>
      <w:r>
        <w:rPr>
          <w:sz w:val="24"/>
        </w:rPr>
        <w:t>并且按以下三部分内容分别进行评审，各投标人的最终总得分为投标报价分、技术分、商务分三部分之和。</w:t>
      </w:r>
    </w:p>
    <w:p>
      <w:pPr>
        <w:spacing w:line="360" w:lineRule="auto"/>
        <w:ind w:firstLine="480"/>
        <w:rPr>
          <w:sz w:val="24"/>
        </w:rPr>
      </w:pPr>
      <w:r>
        <w:rPr>
          <w:sz w:val="24"/>
        </w:rPr>
        <w:t>（1）投标报价分 （</w:t>
      </w:r>
      <w:r>
        <w:rPr>
          <w:rFonts w:hint="eastAsia"/>
          <w:sz w:val="24"/>
          <w:lang w:val="en-US" w:eastAsia="zh-CN"/>
        </w:rPr>
        <w:t>3</w:t>
      </w:r>
      <w:r>
        <w:rPr>
          <w:rFonts w:hint="eastAsia"/>
          <w:sz w:val="24"/>
        </w:rPr>
        <w:t>0</w:t>
      </w:r>
      <w:r>
        <w:rPr>
          <w:sz w:val="24"/>
        </w:rPr>
        <w:t>分）</w:t>
      </w:r>
    </w:p>
    <w:p>
      <w:pPr>
        <w:spacing w:line="360" w:lineRule="auto"/>
        <w:ind w:firstLine="480"/>
        <w:rPr>
          <w:sz w:val="24"/>
        </w:rPr>
      </w:pPr>
      <w:r>
        <w:rPr>
          <w:sz w:val="24"/>
        </w:rPr>
        <w:t>评标委员会指定专人按照评分细则对各投标报价进行审核和分数计算。</w:t>
      </w:r>
    </w:p>
    <w:p>
      <w:pPr>
        <w:spacing w:line="360" w:lineRule="auto"/>
        <w:ind w:firstLine="480"/>
        <w:rPr>
          <w:sz w:val="24"/>
        </w:rPr>
      </w:pPr>
      <w:r>
        <w:rPr>
          <w:sz w:val="24"/>
        </w:rPr>
        <w:t>（2）技术分 （</w:t>
      </w:r>
      <w:r>
        <w:rPr>
          <w:rFonts w:hint="eastAsia"/>
          <w:sz w:val="24"/>
          <w:lang w:val="en-US" w:eastAsia="zh-CN"/>
        </w:rPr>
        <w:t>5</w:t>
      </w:r>
      <w:r>
        <w:rPr>
          <w:rFonts w:hint="eastAsia"/>
          <w:sz w:val="24"/>
        </w:rPr>
        <w:t>0</w:t>
      </w:r>
      <w:r>
        <w:rPr>
          <w:sz w:val="24"/>
        </w:rPr>
        <w:t>分）</w:t>
      </w:r>
    </w:p>
    <w:p>
      <w:pPr>
        <w:spacing w:line="360" w:lineRule="auto"/>
        <w:ind w:firstLine="480"/>
        <w:rPr>
          <w:sz w:val="24"/>
        </w:rPr>
      </w:pPr>
      <w:r>
        <w:rPr>
          <w:sz w:val="24"/>
        </w:rPr>
        <w:t>在认真审阅、分析投标文件主要内容的基础上，按照评分细则的要求和规定独立评分，取全体评委对该投标人评分的算术平均值即为投标单位的得分。</w:t>
      </w:r>
    </w:p>
    <w:p>
      <w:pPr>
        <w:spacing w:line="360" w:lineRule="auto"/>
        <w:ind w:firstLine="480"/>
        <w:rPr>
          <w:sz w:val="24"/>
        </w:rPr>
      </w:pPr>
      <w:r>
        <w:rPr>
          <w:sz w:val="24"/>
        </w:rPr>
        <w:t>（3）商务分 （</w:t>
      </w:r>
      <w:r>
        <w:rPr>
          <w:rFonts w:hint="eastAsia"/>
          <w:sz w:val="24"/>
          <w:lang w:val="en-US" w:eastAsia="zh-CN"/>
        </w:rPr>
        <w:t>2</w:t>
      </w:r>
      <w:r>
        <w:rPr>
          <w:rFonts w:hint="eastAsia"/>
          <w:sz w:val="24"/>
        </w:rPr>
        <w:t>0</w:t>
      </w:r>
      <w:r>
        <w:rPr>
          <w:sz w:val="24"/>
        </w:rPr>
        <w:t>分）</w:t>
      </w:r>
    </w:p>
    <w:p>
      <w:pPr>
        <w:spacing w:line="360" w:lineRule="auto"/>
        <w:ind w:firstLine="480"/>
        <w:rPr>
          <w:sz w:val="24"/>
        </w:rPr>
      </w:pPr>
      <w:r>
        <w:rPr>
          <w:sz w:val="24"/>
        </w:rPr>
        <w:t>主要根据投标文件对本工程的交货期、质保期、售后服务承诺等进行综合评价，评委对照评分细则和投标文件，各自进行独立评分，取全体评委对该投标人评分的算术平均值即为投标单位的得分。</w:t>
      </w:r>
    </w:p>
    <w:p>
      <w:pPr>
        <w:spacing w:line="360" w:lineRule="auto"/>
        <w:ind w:firstLine="480"/>
        <w:rPr>
          <w:sz w:val="24"/>
        </w:rPr>
      </w:pPr>
      <w:r>
        <w:rPr>
          <w:sz w:val="24"/>
        </w:rPr>
        <w:t>（4）投标人的综合总得分为投标报价分、技术分、商务分三部分之和。</w:t>
      </w:r>
    </w:p>
    <w:p>
      <w:pPr>
        <w:spacing w:line="360" w:lineRule="auto"/>
        <w:ind w:firstLine="480"/>
        <w:rPr>
          <w:sz w:val="24"/>
        </w:rPr>
      </w:pPr>
      <w:r>
        <w:rPr>
          <w:sz w:val="24"/>
        </w:rPr>
        <w:t>（5）投标单位得分相同时，以投标报价低者排序在先；如仍相同则以技术部分得分高者排序在先；如仍相同则随机抽取产生排序。计分采用四舍五入法，精确至小数点后两位。</w:t>
      </w:r>
    </w:p>
    <w:p>
      <w:pPr>
        <w:pStyle w:val="31"/>
      </w:pPr>
      <w:bookmarkStart w:id="119" w:name="_Toc23170850"/>
      <w:bookmarkEnd w:id="119"/>
      <w:bookmarkStart w:id="120" w:name="_Toc42003725"/>
      <w:bookmarkEnd w:id="120"/>
      <w:bookmarkStart w:id="121" w:name="_Toc23168026"/>
      <w:bookmarkEnd w:id="121"/>
      <w:r>
        <w:t>2、评分细则</w:t>
      </w:r>
    </w:p>
    <w:p>
      <w:pPr>
        <w:spacing w:line="360" w:lineRule="auto"/>
        <w:ind w:firstLine="578"/>
        <w:rPr>
          <w:sz w:val="24"/>
        </w:rPr>
      </w:pPr>
      <w:r>
        <w:rPr>
          <w:sz w:val="24"/>
        </w:rPr>
        <w:t>为体现评标工作的公平、公正、科学和择优的原则，本评标方法共规定为100分（其中投标报价</w:t>
      </w:r>
      <w:r>
        <w:rPr>
          <w:rFonts w:hint="eastAsia"/>
          <w:sz w:val="24"/>
          <w:lang w:val="en-US" w:eastAsia="zh-CN"/>
        </w:rPr>
        <w:t>30</w:t>
      </w:r>
      <w:r>
        <w:rPr>
          <w:sz w:val="24"/>
        </w:rPr>
        <w:t>分，技术部分</w:t>
      </w:r>
      <w:r>
        <w:rPr>
          <w:rFonts w:hint="eastAsia"/>
          <w:sz w:val="24"/>
          <w:lang w:val="en-US" w:eastAsia="zh-CN"/>
        </w:rPr>
        <w:t>50</w:t>
      </w:r>
      <w:r>
        <w:rPr>
          <w:sz w:val="24"/>
        </w:rPr>
        <w:t>分，商务部分</w:t>
      </w:r>
      <w:r>
        <w:rPr>
          <w:rFonts w:hint="eastAsia"/>
          <w:sz w:val="24"/>
          <w:lang w:val="en-US" w:eastAsia="zh-CN"/>
        </w:rPr>
        <w:t>2</w:t>
      </w:r>
      <w:r>
        <w:rPr>
          <w:rFonts w:hint="eastAsia"/>
          <w:sz w:val="24"/>
        </w:rPr>
        <w:t>0</w:t>
      </w:r>
      <w:r>
        <w:rPr>
          <w:sz w:val="24"/>
        </w:rPr>
        <w:t>分），计分共三大部分组成，得分高者即为中标第一排序人，依次类推。</w:t>
      </w:r>
    </w:p>
    <w:p>
      <w:pPr>
        <w:spacing w:line="360" w:lineRule="auto"/>
        <w:ind w:firstLine="576"/>
        <w:rPr>
          <w:sz w:val="24"/>
          <w:szCs w:val="20"/>
        </w:rPr>
      </w:pPr>
      <w:r>
        <w:rPr>
          <w:sz w:val="24"/>
        </w:rPr>
        <w:t>本办法的分部分值及计算方法如下：</w:t>
      </w:r>
    </w:p>
    <w:p>
      <w:pPr>
        <w:spacing w:line="360" w:lineRule="auto"/>
        <w:ind w:firstLine="354"/>
        <w:rPr>
          <w:rFonts w:ascii="宋体" w:hAnsi="宋体"/>
          <w:b/>
          <w:sz w:val="24"/>
        </w:rPr>
      </w:pPr>
      <w:r>
        <w:rPr>
          <w:rFonts w:hint="eastAsia" w:ascii="宋体" w:hAnsi="宋体"/>
          <w:b/>
          <w:sz w:val="24"/>
        </w:rPr>
        <w:t>（一）投标报价：</w:t>
      </w:r>
      <w:r>
        <w:rPr>
          <w:rFonts w:hint="eastAsia" w:ascii="宋体" w:hAnsi="宋体"/>
          <w:b/>
          <w:sz w:val="24"/>
          <w:lang w:val="en-US" w:eastAsia="zh-CN"/>
        </w:rPr>
        <w:t>30</w:t>
      </w:r>
      <w:r>
        <w:rPr>
          <w:rFonts w:hint="eastAsia" w:ascii="宋体" w:hAnsi="宋体"/>
          <w:b/>
          <w:sz w:val="24"/>
        </w:rPr>
        <w:t>分</w:t>
      </w:r>
    </w:p>
    <w:p>
      <w:pPr>
        <w:spacing w:before="120" w:beforeLines="50" w:after="120" w:afterLines="50" w:line="360" w:lineRule="auto"/>
        <w:ind w:firstLine="480" w:firstLineChars="200"/>
        <w:rPr>
          <w:rFonts w:hint="eastAsia" w:ascii="宋体" w:hAnsi="宋体" w:eastAsia="宋体"/>
          <w:sz w:val="24"/>
          <w:lang w:eastAsia="zh-CN"/>
        </w:rPr>
      </w:pPr>
      <w:r>
        <w:rPr>
          <w:rFonts w:hint="eastAsia" w:ascii="宋体" w:hAnsi="宋体"/>
          <w:sz w:val="24"/>
        </w:rPr>
        <w:t>1、满足招标文件要求</w:t>
      </w:r>
      <w:r>
        <w:rPr>
          <w:rFonts w:hint="eastAsia" w:ascii="宋体" w:hAnsi="宋体"/>
          <w:sz w:val="24"/>
          <w:lang w:eastAsia="zh-CN"/>
        </w:rPr>
        <w:t>，</w:t>
      </w:r>
      <w:r>
        <w:rPr>
          <w:rFonts w:hint="eastAsia" w:ascii="宋体" w:hAnsi="宋体"/>
          <w:sz w:val="24"/>
          <w:lang w:val="en-US" w:eastAsia="zh-CN"/>
        </w:rPr>
        <w:t>全部</w:t>
      </w:r>
      <w:r>
        <w:rPr>
          <w:rFonts w:hint="eastAsia" w:ascii="宋体" w:hAnsi="宋体"/>
          <w:sz w:val="24"/>
        </w:rPr>
        <w:t>投标价格</w:t>
      </w:r>
      <w:r>
        <w:rPr>
          <w:rFonts w:hint="eastAsia" w:ascii="宋体" w:hAnsi="宋体"/>
          <w:sz w:val="24"/>
          <w:lang w:val="en-US" w:eastAsia="zh-CN"/>
        </w:rPr>
        <w:t>的均价</w:t>
      </w:r>
      <w:r>
        <w:rPr>
          <w:rFonts w:hint="eastAsia" w:ascii="宋体" w:hAnsi="宋体"/>
          <w:sz w:val="24"/>
        </w:rPr>
        <w:t>为基准价</w:t>
      </w:r>
      <w:r>
        <w:rPr>
          <w:rFonts w:hint="eastAsia" w:ascii="宋体" w:hAnsi="宋体"/>
          <w:sz w:val="24"/>
          <w:lang w:eastAsia="zh-CN"/>
        </w:rPr>
        <w:t>，</w:t>
      </w:r>
      <w:r>
        <w:rPr>
          <w:rFonts w:hint="eastAsia" w:ascii="宋体" w:hAnsi="宋体"/>
          <w:sz w:val="24"/>
        </w:rPr>
        <w:t>若有效报价大于5家时，去掉一个最高报价和一个最低报价后的算数平均值为评标基准价。</w:t>
      </w:r>
    </w:p>
    <w:p>
      <w:pPr>
        <w:spacing w:line="360" w:lineRule="auto"/>
        <w:ind w:firstLine="480"/>
        <w:jc w:val="left"/>
        <w:rPr>
          <w:rFonts w:hint="eastAsia" w:ascii="宋体" w:hAnsi="宋体"/>
          <w:sz w:val="24"/>
        </w:rPr>
      </w:pPr>
      <w:r>
        <w:rPr>
          <w:rFonts w:hint="eastAsia" w:ascii="宋体" w:hAnsi="宋体"/>
          <w:sz w:val="24"/>
        </w:rPr>
        <w:t>2、其他投标单位的投标报价得分计算公式如下：</w:t>
      </w:r>
    </w:p>
    <w:p>
      <w:pPr>
        <w:spacing w:line="360" w:lineRule="auto"/>
        <w:ind w:firstLine="480"/>
        <w:jc w:val="left"/>
        <w:rPr>
          <w:rFonts w:hint="eastAsia" w:ascii="宋体" w:hAnsi="宋体" w:eastAsia="宋体" w:cs="宋体"/>
          <w:color w:val="auto"/>
          <w:sz w:val="56"/>
          <w:szCs w:val="56"/>
          <w:u w:val="single"/>
          <w:vertAlign w:val="superscript"/>
          <w:lang w:val="en-US" w:eastAsia="zh-CN"/>
        </w:rPr>
      </w:pPr>
      <w:r>
        <w:rPr>
          <w:rFonts w:hint="eastAsia" w:ascii="宋体" w:hAnsi="宋体"/>
          <w:sz w:val="24"/>
        </w:rPr>
        <w:t>投标报价得分=</w:t>
      </w:r>
      <w:r>
        <w:rPr>
          <w:rFonts w:hint="eastAsia" w:ascii="宋体" w:hAnsi="宋体"/>
          <w:sz w:val="24"/>
          <w:lang w:val="en-US" w:eastAsia="zh-CN"/>
        </w:rPr>
        <w:t>30-{（</w:t>
      </w:r>
      <w:r>
        <w:rPr>
          <w:rFonts w:hint="eastAsia" w:ascii="宋体" w:hAnsi="宋体"/>
          <w:sz w:val="24"/>
        </w:rPr>
        <w:t>基准价</w:t>
      </w:r>
      <w:r>
        <w:rPr>
          <w:rFonts w:hint="eastAsia" w:ascii="宋体" w:hAnsi="宋体"/>
          <w:sz w:val="24"/>
          <w:lang w:val="en-US" w:eastAsia="zh-CN"/>
        </w:rPr>
        <w:t>-投标价）/</w:t>
      </w:r>
      <w:r>
        <w:rPr>
          <w:rFonts w:hint="eastAsia" w:ascii="宋体" w:hAnsi="宋体"/>
          <w:sz w:val="24"/>
        </w:rPr>
        <w:t>基准价</w:t>
      </w:r>
      <w:r>
        <w:rPr>
          <w:rFonts w:hint="eastAsia" w:ascii="宋体" w:hAnsi="宋体"/>
          <w:sz w:val="24"/>
          <w:lang w:val="en-US" w:eastAsia="zh-CN"/>
        </w:rPr>
        <w:t>}*</w:t>
      </w:r>
      <w:r>
        <w:rPr>
          <w:rFonts w:hint="eastAsia" w:ascii="宋体" w:hAnsi="宋体"/>
          <w:sz w:val="24"/>
          <w:lang w:eastAsia="zh-CN"/>
        </w:rPr>
        <w:t>基准率</w:t>
      </w:r>
    </w:p>
    <w:p>
      <w:pPr>
        <w:spacing w:line="360" w:lineRule="auto"/>
        <w:ind w:firstLine="578"/>
        <w:rPr>
          <w:rFonts w:hint="eastAsia"/>
          <w:sz w:val="24"/>
          <w:lang w:eastAsia="zh-CN"/>
        </w:rPr>
      </w:pPr>
      <w:r>
        <w:rPr>
          <w:rFonts w:hint="eastAsia"/>
          <w:sz w:val="24"/>
          <w:lang w:eastAsia="zh-CN"/>
        </w:rPr>
        <w:t>备注：投标价等于评标基准价时得</w:t>
      </w:r>
      <w:r>
        <w:rPr>
          <w:rFonts w:hint="eastAsia"/>
          <w:sz w:val="24"/>
          <w:lang w:val="en-US" w:eastAsia="zh-CN"/>
        </w:rPr>
        <w:t>3</w:t>
      </w:r>
      <w:r>
        <w:rPr>
          <w:rFonts w:hint="eastAsia"/>
          <w:sz w:val="24"/>
          <w:lang w:eastAsia="zh-CN"/>
        </w:rPr>
        <w:t>0分，投标价每高于评标基准价</w:t>
      </w:r>
      <w:r>
        <w:rPr>
          <w:rFonts w:hint="eastAsia"/>
          <w:sz w:val="24"/>
          <w:lang w:val="en-US" w:eastAsia="zh-CN"/>
        </w:rPr>
        <w:t>2</w:t>
      </w:r>
      <w:r>
        <w:rPr>
          <w:rFonts w:hint="eastAsia"/>
          <w:sz w:val="24"/>
          <w:lang w:eastAsia="zh-CN"/>
        </w:rPr>
        <w:t>%，扣</w:t>
      </w:r>
      <w:r>
        <w:rPr>
          <w:rFonts w:hint="eastAsia"/>
          <w:sz w:val="24"/>
          <w:lang w:val="en-US" w:eastAsia="zh-CN"/>
        </w:rPr>
        <w:t>2</w:t>
      </w:r>
      <w:r>
        <w:rPr>
          <w:rFonts w:hint="eastAsia"/>
          <w:sz w:val="24"/>
          <w:lang w:eastAsia="zh-CN"/>
        </w:rPr>
        <w:t>分，每低于评标基准价</w:t>
      </w:r>
      <w:r>
        <w:rPr>
          <w:rFonts w:hint="eastAsia"/>
          <w:sz w:val="24"/>
          <w:lang w:val="en-US" w:eastAsia="zh-CN"/>
        </w:rPr>
        <w:t>2</w:t>
      </w:r>
      <w:r>
        <w:rPr>
          <w:rFonts w:hint="eastAsia"/>
          <w:sz w:val="24"/>
          <w:lang w:eastAsia="zh-CN"/>
        </w:rPr>
        <w:t>%，扣</w:t>
      </w:r>
      <w:r>
        <w:rPr>
          <w:rFonts w:hint="eastAsia"/>
          <w:sz w:val="24"/>
          <w:lang w:val="en-US" w:eastAsia="zh-CN"/>
        </w:rPr>
        <w:t>1</w:t>
      </w:r>
      <w:r>
        <w:rPr>
          <w:rFonts w:hint="eastAsia"/>
          <w:sz w:val="24"/>
          <w:lang w:eastAsia="zh-CN"/>
        </w:rPr>
        <w:t>分，扣至0分为止，得出价格分精确到小数点后两位。</w:t>
      </w:r>
    </w:p>
    <w:p>
      <w:pPr>
        <w:spacing w:line="360" w:lineRule="auto"/>
        <w:ind w:firstLine="482"/>
        <w:jc w:val="left"/>
        <w:rPr>
          <w:rFonts w:ascii="宋体" w:hAnsi="宋体"/>
          <w:b/>
          <w:sz w:val="24"/>
        </w:rPr>
      </w:pPr>
      <w:r>
        <w:rPr>
          <w:rFonts w:hint="eastAsia" w:ascii="宋体" w:hAnsi="宋体"/>
          <w:b/>
          <w:sz w:val="24"/>
        </w:rPr>
        <w:t>说明：投标人未按供货要求提供完整的货物和服务时，招标人将按其它有效标投标人提供的分项报价的最高价，对该投标价格进行调整，仅作为评标使用。中标价仍为其投标报价，且供货范围必须完整。</w:t>
      </w:r>
    </w:p>
    <w:p>
      <w:pPr>
        <w:numPr>
          <w:ilvl w:val="0"/>
          <w:numId w:val="5"/>
        </w:numPr>
        <w:tabs>
          <w:tab w:val="left" w:pos="420"/>
          <w:tab w:val="left" w:pos="840"/>
          <w:tab w:val="left" w:pos="1260"/>
          <w:tab w:val="left" w:pos="4800"/>
        </w:tabs>
        <w:spacing w:line="360" w:lineRule="auto"/>
        <w:ind w:firstLine="424"/>
        <w:jc w:val="left"/>
      </w:pPr>
      <w:r>
        <w:rPr>
          <w:rFonts w:ascii="宋体" w:hAnsi="宋体"/>
          <w:b/>
          <w:sz w:val="24"/>
        </w:rPr>
        <w:t>技术部分</w:t>
      </w:r>
      <w:r>
        <w:rPr>
          <w:rFonts w:hint="eastAsia" w:ascii="宋体" w:hAnsi="宋体"/>
          <w:b/>
          <w:sz w:val="24"/>
        </w:rPr>
        <w:t>（</w:t>
      </w:r>
      <w:r>
        <w:rPr>
          <w:rFonts w:hint="eastAsia" w:ascii="宋体" w:hAnsi="宋体"/>
          <w:b/>
          <w:sz w:val="24"/>
          <w:lang w:val="en-US" w:eastAsia="zh-CN"/>
        </w:rPr>
        <w:t>5</w:t>
      </w:r>
      <w:r>
        <w:rPr>
          <w:rFonts w:hint="eastAsia" w:ascii="宋体" w:hAnsi="宋体"/>
          <w:b/>
          <w:sz w:val="24"/>
        </w:rPr>
        <w:t>0</w:t>
      </w:r>
      <w:r>
        <w:rPr>
          <w:rFonts w:ascii="宋体" w:hAnsi="宋体"/>
          <w:b/>
          <w:sz w:val="24"/>
        </w:rPr>
        <w:t>分</w:t>
      </w:r>
      <w:r>
        <w:rPr>
          <w:rFonts w:hint="eastAsia" w:ascii="宋体" w:hAnsi="宋体"/>
          <w:b/>
          <w:sz w:val="24"/>
        </w:rPr>
        <w:t>）</w:t>
      </w:r>
    </w:p>
    <w:tbl>
      <w:tblPr>
        <w:tblStyle w:val="42"/>
        <w:tblW w:w="8730" w:type="dxa"/>
        <w:jc w:val="center"/>
        <w:tblInd w:w="-9" w:type="dxa"/>
        <w:tblLayout w:type="fixed"/>
        <w:tblCellMar>
          <w:top w:w="0" w:type="dxa"/>
          <w:left w:w="10" w:type="dxa"/>
          <w:bottom w:w="0" w:type="dxa"/>
          <w:right w:w="10" w:type="dxa"/>
        </w:tblCellMar>
      </w:tblPr>
      <w:tblGrid>
        <w:gridCol w:w="728"/>
        <w:gridCol w:w="1890"/>
        <w:gridCol w:w="6112"/>
      </w:tblGrid>
      <w:tr>
        <w:tblPrEx>
          <w:tblLayout w:type="fixed"/>
          <w:tblCellMar>
            <w:top w:w="0" w:type="dxa"/>
            <w:left w:w="10" w:type="dxa"/>
            <w:bottom w:w="0" w:type="dxa"/>
            <w:right w:w="10" w:type="dxa"/>
          </w:tblCellMar>
        </w:tblPrEx>
        <w:trPr>
          <w:trHeight w:val="394"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序号</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评审因素</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评分标准</w:t>
            </w:r>
          </w:p>
        </w:tc>
      </w:tr>
      <w:tr>
        <w:tblPrEx>
          <w:tblLayout w:type="fixed"/>
          <w:tblCellMar>
            <w:top w:w="0" w:type="dxa"/>
            <w:left w:w="10" w:type="dxa"/>
            <w:bottom w:w="0" w:type="dxa"/>
            <w:right w:w="10" w:type="dxa"/>
          </w:tblCellMar>
        </w:tblPrEx>
        <w:trPr>
          <w:cantSplit/>
          <w:trHeight w:val="682"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1</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ascii="宋体" w:hAnsi="宋体"/>
                <w:b/>
                <w:szCs w:val="21"/>
                <w:highlight w:val="none"/>
              </w:rPr>
            </w:pPr>
            <w:r>
              <w:rPr>
                <w:rFonts w:hint="eastAsia" w:ascii="宋体" w:hAnsi="宋体"/>
                <w:b/>
                <w:szCs w:val="21"/>
                <w:highlight w:val="none"/>
              </w:rPr>
              <w:t>技术参数、</w:t>
            </w:r>
          </w:p>
          <w:p>
            <w:pPr>
              <w:tabs>
                <w:tab w:val="left" w:pos="420"/>
                <w:tab w:val="left" w:pos="840"/>
                <w:tab w:val="left" w:pos="1260"/>
                <w:tab w:val="left" w:pos="4800"/>
              </w:tabs>
              <w:spacing w:line="270" w:lineRule="atLeast"/>
              <w:jc w:val="center"/>
              <w:rPr>
                <w:rFonts w:ascii="宋体" w:hAnsi="宋体"/>
                <w:b/>
                <w:szCs w:val="21"/>
                <w:highlight w:val="none"/>
              </w:rPr>
            </w:pPr>
            <w:r>
              <w:rPr>
                <w:rFonts w:hint="eastAsia" w:ascii="宋体" w:hAnsi="宋体"/>
                <w:b/>
                <w:szCs w:val="21"/>
                <w:highlight w:val="none"/>
              </w:rPr>
              <w:t>配置和质保响应情况</w:t>
            </w:r>
          </w:p>
          <w:p>
            <w:pPr>
              <w:tabs>
                <w:tab w:val="left" w:pos="420"/>
                <w:tab w:val="left" w:pos="840"/>
                <w:tab w:val="left" w:pos="1260"/>
                <w:tab w:val="left" w:pos="4800"/>
              </w:tabs>
              <w:spacing w:line="270" w:lineRule="atLeast"/>
              <w:jc w:val="center"/>
              <w:rPr>
                <w:rFonts w:ascii="宋体" w:hAnsi="宋体"/>
                <w:b/>
                <w:szCs w:val="21"/>
                <w:highlight w:val="none"/>
              </w:rPr>
            </w:pPr>
            <w:r>
              <w:rPr>
                <w:rFonts w:hint="eastAsia" w:ascii="宋体" w:hAnsi="宋体"/>
                <w:b/>
                <w:szCs w:val="21"/>
                <w:highlight w:val="none"/>
              </w:rPr>
              <w:t>（</w:t>
            </w:r>
            <w:r>
              <w:rPr>
                <w:rFonts w:hint="eastAsia" w:ascii="宋体" w:hAnsi="宋体"/>
                <w:b/>
                <w:szCs w:val="21"/>
                <w:highlight w:val="none"/>
                <w:lang w:val="en-US" w:eastAsia="zh-CN"/>
              </w:rPr>
              <w:t>15</w:t>
            </w:r>
            <w:r>
              <w:rPr>
                <w:rFonts w:hint="eastAsia" w:ascii="宋体" w:hAnsi="宋体"/>
                <w:b/>
                <w:szCs w:val="21"/>
                <w:highlight w:val="none"/>
              </w:rPr>
              <w:t>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none"/>
              </w:rPr>
            </w:pPr>
            <w:r>
              <w:rPr>
                <w:rFonts w:hint="eastAsia"/>
                <w:color w:val="auto"/>
                <w:highlight w:val="none"/>
                <w:vertAlign w:val="baseline"/>
                <w:lang w:val="en-US" w:eastAsia="zh-CN"/>
              </w:rPr>
              <w:t>投标设备的档次、性能参数对招标文件规格及技术要求的响应程度。各投标人进行横向比较，如有带“△”符合技术负偏差的，每个扣2分，★符合是必要项，不达标该项不得分。</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2</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hint="eastAsia" w:ascii="宋体" w:hAnsi="宋体" w:eastAsia="宋体"/>
                <w:b/>
                <w:szCs w:val="21"/>
                <w:highlight w:val="none"/>
                <w:lang w:val="en-US" w:eastAsia="zh-CN"/>
              </w:rPr>
            </w:pPr>
            <w:r>
              <w:rPr>
                <w:rFonts w:hint="eastAsia" w:ascii="宋体" w:hAnsi="宋体"/>
                <w:b/>
                <w:szCs w:val="21"/>
                <w:highlight w:val="none"/>
                <w:lang w:val="en-US" w:eastAsia="zh-CN"/>
              </w:rPr>
              <w:t>技术水平</w:t>
            </w:r>
          </w:p>
          <w:p>
            <w:pPr>
              <w:tabs>
                <w:tab w:val="left" w:pos="420"/>
                <w:tab w:val="left" w:pos="840"/>
                <w:tab w:val="left" w:pos="1260"/>
                <w:tab w:val="left" w:pos="4800"/>
              </w:tabs>
              <w:spacing w:line="270" w:lineRule="atLeast"/>
              <w:jc w:val="center"/>
              <w:rPr>
                <w:rFonts w:ascii="宋体" w:hAnsi="宋体"/>
                <w:b/>
                <w:szCs w:val="21"/>
                <w:highlight w:val="none"/>
              </w:rPr>
            </w:pPr>
            <w:r>
              <w:rPr>
                <w:rFonts w:hint="eastAsia" w:ascii="宋体" w:hAnsi="宋体"/>
                <w:b/>
                <w:szCs w:val="21"/>
                <w:highlight w:val="none"/>
              </w:rPr>
              <w:t>（</w:t>
            </w:r>
            <w:r>
              <w:rPr>
                <w:rFonts w:hint="eastAsia" w:ascii="宋体" w:hAnsi="宋体"/>
                <w:b/>
                <w:szCs w:val="21"/>
                <w:highlight w:val="none"/>
                <w:lang w:val="en-US" w:eastAsia="zh-CN"/>
              </w:rPr>
              <w:t>30</w:t>
            </w:r>
            <w:r>
              <w:rPr>
                <w:rFonts w:hint="eastAsia" w:ascii="宋体" w:hAnsi="宋体"/>
                <w:b/>
                <w:szCs w:val="21"/>
                <w:highlight w:val="none"/>
              </w:rPr>
              <w:t>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none"/>
              </w:rPr>
            </w:pPr>
            <w:r>
              <w:rPr>
                <w:rFonts w:hint="eastAsia"/>
                <w:color w:val="auto"/>
                <w:highlight w:val="none"/>
                <w:vertAlign w:val="baseline"/>
                <w:lang w:val="en-US" w:eastAsia="zh-CN"/>
              </w:rPr>
              <w:t>对投标设备的总体技术水平评价，包括技术综合水平、先进性、成熟度、生产速度、百强企业购买使用情况等作出评价。</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hint="eastAsia" w:ascii="宋体" w:hAnsi="宋体" w:eastAsia="宋体"/>
                <w:b/>
                <w:szCs w:val="21"/>
                <w:lang w:val="en-US" w:eastAsia="zh-CN"/>
              </w:rPr>
            </w:pPr>
            <w:r>
              <w:rPr>
                <w:rFonts w:hint="eastAsia" w:ascii="宋体" w:hAnsi="宋体"/>
                <w:b/>
                <w:szCs w:val="21"/>
                <w:lang w:val="en-US" w:eastAsia="zh-CN"/>
              </w:rPr>
              <w:t>3</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产品认证</w:t>
            </w:r>
          </w:p>
          <w:p>
            <w:pPr>
              <w:tabs>
                <w:tab w:val="left" w:pos="420"/>
                <w:tab w:val="left" w:pos="840"/>
                <w:tab w:val="left" w:pos="1260"/>
                <w:tab w:val="left" w:pos="4800"/>
              </w:tabs>
              <w:spacing w:line="270" w:lineRule="atLeast"/>
              <w:jc w:val="center"/>
              <w:rPr>
                <w:rFonts w:hint="eastAsia"/>
                <w:highlight w:val="none"/>
                <w:lang w:val="en-US" w:eastAsia="zh-CN"/>
              </w:rPr>
            </w:pPr>
            <w:r>
              <w:rPr>
                <w:rFonts w:hint="eastAsia" w:ascii="宋体" w:hAnsi="宋体"/>
                <w:b/>
                <w:color w:val="auto"/>
                <w:szCs w:val="21"/>
                <w:highlight w:val="none"/>
                <w:lang w:val="en-US" w:eastAsia="zh-CN"/>
              </w:rPr>
              <w:t>（5分）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hint="eastAsia"/>
                <w:color w:val="auto"/>
                <w:highlight w:val="none"/>
                <w:vertAlign w:val="baseline"/>
                <w:lang w:val="en-US" w:eastAsia="zh-CN"/>
              </w:rPr>
            </w:pPr>
            <w:r>
              <w:rPr>
                <w:rFonts w:hint="eastAsia"/>
                <w:color w:val="auto"/>
                <w:highlight w:val="none"/>
                <w:vertAlign w:val="baseline"/>
                <w:lang w:val="en-US" w:eastAsia="zh-CN"/>
              </w:rPr>
              <w:t>有无专利证书，产品获奖情况、高新认证等产品认证方面进行评分。</w:t>
            </w:r>
          </w:p>
        </w:tc>
      </w:tr>
    </w:tbl>
    <w:p>
      <w:pPr>
        <w:pStyle w:val="2"/>
      </w:pPr>
    </w:p>
    <w:p>
      <w:pPr>
        <w:spacing w:line="360" w:lineRule="auto"/>
        <w:ind w:left="-151" w:firstLine="292"/>
        <w:rPr>
          <w:rFonts w:ascii="宋体" w:hAnsi="宋体"/>
          <w:b/>
          <w:szCs w:val="21"/>
        </w:rPr>
      </w:pPr>
      <w:r>
        <w:rPr>
          <w:rFonts w:ascii="宋体" w:hAnsi="宋体"/>
          <w:b/>
          <w:szCs w:val="21"/>
        </w:rPr>
        <w:t>（三）</w:t>
      </w:r>
      <w:r>
        <w:rPr>
          <w:rFonts w:hint="eastAsia" w:ascii="宋体" w:hAnsi="宋体"/>
          <w:b/>
          <w:szCs w:val="21"/>
        </w:rPr>
        <w:t>商务</w:t>
      </w:r>
      <w:r>
        <w:rPr>
          <w:rFonts w:ascii="宋体" w:hAnsi="宋体"/>
          <w:b/>
          <w:szCs w:val="21"/>
        </w:rPr>
        <w:t>部分</w:t>
      </w:r>
      <w:r>
        <w:rPr>
          <w:rFonts w:hint="eastAsia" w:ascii="宋体" w:hAnsi="宋体"/>
          <w:b/>
          <w:szCs w:val="21"/>
        </w:rPr>
        <w:t>（</w:t>
      </w:r>
      <w:r>
        <w:rPr>
          <w:rFonts w:hint="eastAsia" w:ascii="宋体" w:hAnsi="宋体"/>
          <w:b/>
          <w:szCs w:val="21"/>
          <w:lang w:val="en-US" w:eastAsia="zh-CN"/>
        </w:rPr>
        <w:t>2</w:t>
      </w:r>
      <w:r>
        <w:rPr>
          <w:rFonts w:hint="eastAsia" w:ascii="宋体" w:hAnsi="宋体"/>
          <w:b/>
          <w:szCs w:val="21"/>
        </w:rPr>
        <w:t>0</w:t>
      </w:r>
      <w:r>
        <w:rPr>
          <w:rFonts w:ascii="宋体" w:hAnsi="宋体"/>
          <w:b/>
          <w:szCs w:val="21"/>
        </w:rPr>
        <w:t>分</w:t>
      </w:r>
      <w:r>
        <w:rPr>
          <w:rFonts w:hint="eastAsia" w:ascii="宋体" w:hAnsi="宋体"/>
          <w:b/>
          <w:szCs w:val="21"/>
        </w:rPr>
        <w:t>）</w:t>
      </w:r>
    </w:p>
    <w:tbl>
      <w:tblPr>
        <w:tblStyle w:val="42"/>
        <w:tblW w:w="8685" w:type="dxa"/>
        <w:tblInd w:w="-96" w:type="dxa"/>
        <w:tblLayout w:type="fixed"/>
        <w:tblCellMar>
          <w:top w:w="0" w:type="dxa"/>
          <w:left w:w="10" w:type="dxa"/>
          <w:bottom w:w="0" w:type="dxa"/>
          <w:right w:w="10" w:type="dxa"/>
        </w:tblCellMar>
      </w:tblPr>
      <w:tblGrid>
        <w:gridCol w:w="675"/>
        <w:gridCol w:w="1950"/>
        <w:gridCol w:w="6060"/>
      </w:tblGrid>
      <w:tr>
        <w:tblPrEx>
          <w:tblLayout w:type="fixed"/>
          <w:tblCellMar>
            <w:top w:w="0" w:type="dxa"/>
            <w:left w:w="10" w:type="dxa"/>
            <w:bottom w:w="0" w:type="dxa"/>
            <w:right w:w="10" w:type="dxa"/>
          </w:tblCellMar>
        </w:tblPrEx>
        <w:trPr>
          <w:trHeight w:val="472"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序号</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项目</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评审标准</w:t>
            </w:r>
          </w:p>
        </w:tc>
      </w:tr>
      <w:tr>
        <w:tblPrEx>
          <w:tblLayout w:type="fixed"/>
          <w:tblCellMar>
            <w:top w:w="0" w:type="dxa"/>
            <w:left w:w="10" w:type="dxa"/>
            <w:bottom w:w="0" w:type="dxa"/>
            <w:right w:w="10" w:type="dxa"/>
          </w:tblCellMar>
        </w:tblPrEx>
        <w:trPr>
          <w:cantSplit/>
          <w:trHeight w:val="1669"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ascii="宋体" w:hAnsi="宋体"/>
                <w:b/>
                <w:szCs w:val="21"/>
              </w:rPr>
              <w:t>1</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b/>
                <w:szCs w:val="21"/>
                <w:lang w:eastAsia="zh-CN"/>
              </w:rPr>
              <w:t>设备</w:t>
            </w:r>
            <w:r>
              <w:rPr>
                <w:b/>
                <w:szCs w:val="21"/>
              </w:rPr>
              <w:t>业绩（</w:t>
            </w:r>
            <w:r>
              <w:rPr>
                <w:rFonts w:hint="eastAsia"/>
                <w:b/>
                <w:szCs w:val="21"/>
                <w:lang w:val="en-US" w:eastAsia="zh-CN"/>
              </w:rPr>
              <w:t>10</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ascii="宋体" w:hAnsi="宋体"/>
                <w:color w:val="000000" w:themeColor="text1"/>
                <w:szCs w:val="21"/>
                <w14:textFill>
                  <w14:solidFill>
                    <w14:schemeClr w14:val="tx1"/>
                  </w14:solidFill>
                </w14:textFill>
              </w:rPr>
            </w:pPr>
            <w:r>
              <w:rPr>
                <w:rFonts w:hint="eastAsia" w:ascii="宋体" w:hAnsi="宋体"/>
                <w:szCs w:val="21"/>
                <w:lang w:eastAsia="zh-CN"/>
              </w:rPr>
              <w:t>投标人</w:t>
            </w:r>
            <w:r>
              <w:rPr>
                <w:rFonts w:hint="eastAsia" w:ascii="宋体" w:hAnsi="宋体"/>
                <w:szCs w:val="21"/>
              </w:rPr>
              <w:t>自20</w:t>
            </w:r>
            <w:r>
              <w:rPr>
                <w:rFonts w:hint="eastAsia" w:ascii="宋体" w:hAnsi="宋体"/>
                <w:szCs w:val="21"/>
                <w:lang w:val="en-US" w:eastAsia="zh-CN"/>
              </w:rPr>
              <w:t>19</w:t>
            </w:r>
            <w:r>
              <w:rPr>
                <w:rFonts w:hint="eastAsia" w:ascii="宋体" w:hAnsi="宋体"/>
                <w:szCs w:val="21"/>
              </w:rPr>
              <w:t>年</w:t>
            </w:r>
            <w:r>
              <w:rPr>
                <w:rFonts w:ascii="宋体" w:hAnsi="宋体"/>
                <w:szCs w:val="21"/>
              </w:rPr>
              <w:t>1</w:t>
            </w:r>
            <w:r>
              <w:rPr>
                <w:rFonts w:hint="eastAsia" w:ascii="宋体" w:hAnsi="宋体"/>
                <w:szCs w:val="21"/>
              </w:rPr>
              <w:t>月1日至投标截止</w:t>
            </w:r>
            <w:r>
              <w:rPr>
                <w:rFonts w:hint="eastAsia" w:ascii="宋体" w:hAnsi="宋体"/>
                <w:szCs w:val="21"/>
                <w:lang w:eastAsia="zh-CN"/>
              </w:rPr>
              <w:t>完成同类似设备</w:t>
            </w:r>
            <w:r>
              <w:rPr>
                <w:rFonts w:hint="eastAsia" w:ascii="宋体" w:hAnsi="宋体" w:cs="宋体"/>
                <w:kern w:val="0"/>
                <w:sz w:val="21"/>
                <w:szCs w:val="21"/>
                <w:lang w:val="en-US" w:eastAsia="zh-CN" w:bidi="ar-SA"/>
              </w:rPr>
              <w:t>业绩，</w:t>
            </w:r>
            <w:r>
              <w:rPr>
                <w:rFonts w:hint="eastAsia" w:ascii="宋体" w:hAnsi="宋体"/>
                <w:color w:val="000000" w:themeColor="text1"/>
                <w:szCs w:val="21"/>
                <w14:textFill>
                  <w14:solidFill>
                    <w14:schemeClr w14:val="tx1"/>
                  </w14:solidFill>
                </w14:textFill>
              </w:rPr>
              <w:t>每提供</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台</w:t>
            </w:r>
            <w:r>
              <w:rPr>
                <w:rFonts w:hint="eastAsia" w:ascii="宋体" w:hAnsi="宋体"/>
                <w:color w:val="000000" w:themeColor="text1"/>
                <w:szCs w:val="21"/>
                <w:lang w:eastAsia="zh-CN"/>
                <w14:textFill>
                  <w14:solidFill>
                    <w14:schemeClr w14:val="tx1"/>
                  </w14:solidFill>
                </w14:textFill>
              </w:rPr>
              <w:t>得</w:t>
            </w:r>
            <w:r>
              <w:rPr>
                <w:rFonts w:hint="eastAsia" w:ascii="宋体" w:hAnsi="宋体"/>
                <w:color w:val="000000" w:themeColor="text1"/>
                <w:szCs w:val="21"/>
                <w:lang w:val="en-US" w:eastAsia="zh-CN"/>
                <w14:textFill>
                  <w14:solidFill>
                    <w14:schemeClr w14:val="tx1"/>
                  </w14:solidFill>
                </w14:textFill>
              </w:rPr>
              <w:t>0.5</w:t>
            </w:r>
            <w:r>
              <w:rPr>
                <w:rFonts w:hint="eastAsia" w:ascii="宋体" w:hAnsi="宋体"/>
                <w:color w:val="000000" w:themeColor="text1"/>
                <w:szCs w:val="21"/>
                <w14:textFill>
                  <w14:solidFill>
                    <w14:schemeClr w14:val="tx1"/>
                  </w14:solidFill>
                </w14:textFill>
              </w:rPr>
              <w:t>分，最高</w:t>
            </w:r>
            <w:r>
              <w:rPr>
                <w:rFonts w:hint="eastAsia" w:ascii="宋体" w:hAnsi="宋体"/>
                <w:color w:val="000000" w:themeColor="text1"/>
                <w:szCs w:val="21"/>
                <w:lang w:eastAsia="zh-CN"/>
                <w14:textFill>
                  <w14:solidFill>
                    <w14:schemeClr w14:val="tx1"/>
                  </w14:solidFill>
                </w14:textFill>
              </w:rPr>
              <w:t>得分不</w:t>
            </w:r>
            <w:r>
              <w:rPr>
                <w:rFonts w:hint="eastAsia" w:ascii="宋体" w:hAnsi="宋体"/>
                <w:color w:val="000000" w:themeColor="text1"/>
                <w:szCs w:val="21"/>
                <w14:textFill>
                  <w14:solidFill>
                    <w14:schemeClr w14:val="tx1"/>
                  </w14:solidFill>
                </w14:textFill>
              </w:rPr>
              <w:t>超过</w:t>
            </w:r>
            <w:r>
              <w:rPr>
                <w:rFonts w:hint="eastAsia" w:ascii="宋体" w:hAnsi="宋体"/>
                <w:color w:val="000000" w:themeColor="text1"/>
                <w:szCs w:val="21"/>
                <w:lang w:val="en-US" w:eastAsia="zh-CN"/>
                <w14:textFill>
                  <w14:solidFill>
                    <w14:schemeClr w14:val="tx1"/>
                  </w14:solidFill>
                </w14:textFill>
              </w:rPr>
              <w:t>10</w:t>
            </w:r>
            <w:r>
              <w:rPr>
                <w:rFonts w:hint="eastAsia" w:ascii="宋体" w:hAnsi="宋体"/>
                <w:color w:val="000000" w:themeColor="text1"/>
                <w:szCs w:val="21"/>
                <w14:textFill>
                  <w14:solidFill>
                    <w14:schemeClr w14:val="tx1"/>
                  </w14:solidFill>
                </w14:textFill>
              </w:rPr>
              <w:t>分</w:t>
            </w:r>
            <w:r>
              <w:rPr>
                <w:rFonts w:hint="eastAsia" w:ascii="宋体" w:hAnsi="宋体" w:cs="宋体"/>
                <w:kern w:val="0"/>
                <w:sz w:val="21"/>
                <w:szCs w:val="21"/>
                <w:lang w:val="en-US" w:eastAsia="zh-CN" w:bidi="ar-SA"/>
              </w:rPr>
              <w:t>。</w:t>
            </w:r>
          </w:p>
          <w:p>
            <w:pPr>
              <w:spacing w:line="270" w:lineRule="atLeast"/>
              <w:jc w:val="left"/>
              <w:rPr>
                <w:rFonts w:ascii="宋体" w:hAnsi="宋体"/>
                <w:b/>
                <w:szCs w:val="21"/>
              </w:rPr>
            </w:pPr>
            <w:r>
              <w:rPr>
                <w:rFonts w:hint="eastAsia" w:ascii="宋体" w:hAnsi="宋体"/>
                <w:b/>
                <w:szCs w:val="21"/>
              </w:rPr>
              <w:t>评审依据：提供符合上述业绩要求的合同复印件或使用单位验收合格证明</w:t>
            </w:r>
            <w:r>
              <w:rPr>
                <w:rFonts w:hint="eastAsia"/>
                <w:b/>
                <w:szCs w:val="21"/>
              </w:rPr>
              <w:t>（若无法证明销售业绩为，需提供技术协议复印件或使用单位证明材料）</w:t>
            </w:r>
          </w:p>
        </w:tc>
      </w:tr>
      <w:tr>
        <w:tblPrEx>
          <w:tblLayout w:type="fixed"/>
          <w:tblCellMar>
            <w:top w:w="0" w:type="dxa"/>
            <w:left w:w="10" w:type="dxa"/>
            <w:bottom w:w="0" w:type="dxa"/>
            <w:right w:w="10" w:type="dxa"/>
          </w:tblCellMar>
        </w:tblPrEx>
        <w:trPr>
          <w:cantSplit/>
          <w:trHeight w:val="974"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2</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交货期及其他商务条款（</w:t>
            </w:r>
            <w:r>
              <w:rPr>
                <w:rFonts w:hint="eastAsia"/>
                <w:b/>
                <w:szCs w:val="21"/>
                <w:lang w:val="en-US" w:eastAsia="zh-CN"/>
              </w:rPr>
              <w:t>8</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5"/>
              <w:rPr>
                <w:rFonts w:hint="eastAsia" w:eastAsia="宋体"/>
                <w:lang w:val="en-US" w:eastAsia="zh-CN"/>
              </w:rPr>
            </w:pPr>
            <w:r>
              <w:rPr>
                <w:szCs w:val="21"/>
              </w:rPr>
              <w:t>1）能满足招标文件规定的交货期的，</w:t>
            </w:r>
            <w:r>
              <w:rPr>
                <w:rFonts w:hint="eastAsia"/>
                <w:lang w:val="en-US" w:eastAsia="zh-CN"/>
              </w:rPr>
              <w:t>满足得4分，每延迟交货5个日历日扣1分，扣完为止。</w:t>
            </w:r>
          </w:p>
          <w:p>
            <w:pPr>
              <w:rPr>
                <w:rFonts w:hint="eastAsia" w:eastAsia="宋体"/>
                <w:szCs w:val="21"/>
                <w:lang w:val="en-US" w:eastAsia="zh-CN"/>
              </w:rPr>
            </w:pPr>
            <w:r>
              <w:rPr>
                <w:color w:val="FF0000"/>
                <w:szCs w:val="21"/>
              </w:rPr>
              <w:t>2）满足招标文件规定的</w:t>
            </w:r>
            <w:r>
              <w:rPr>
                <w:rFonts w:hint="eastAsia"/>
                <w:color w:val="FF0000"/>
                <w:szCs w:val="21"/>
              </w:rPr>
              <w:t>付款方式</w:t>
            </w:r>
            <w:r>
              <w:rPr>
                <w:color w:val="FF0000"/>
                <w:szCs w:val="21"/>
              </w:rPr>
              <w:t>，</w:t>
            </w:r>
            <w:r>
              <w:rPr>
                <w:rFonts w:hint="eastAsia"/>
                <w:color w:val="FF0000"/>
                <w:szCs w:val="21"/>
                <w:lang w:eastAsia="zh-CN"/>
              </w:rPr>
              <w:t>全部满足</w:t>
            </w:r>
            <w:r>
              <w:rPr>
                <w:color w:val="FF0000"/>
                <w:szCs w:val="21"/>
              </w:rPr>
              <w:t>得</w:t>
            </w:r>
            <w:r>
              <w:rPr>
                <w:rFonts w:hint="eastAsia"/>
                <w:color w:val="FF0000"/>
                <w:szCs w:val="21"/>
              </w:rPr>
              <w:t>4</w:t>
            </w:r>
            <w:r>
              <w:rPr>
                <w:color w:val="FF0000"/>
                <w:szCs w:val="21"/>
              </w:rPr>
              <w:t>分，</w:t>
            </w:r>
            <w:r>
              <w:rPr>
                <w:rFonts w:hint="eastAsia"/>
                <w:color w:val="FF0000"/>
                <w:szCs w:val="21"/>
                <w:lang w:eastAsia="zh-CN"/>
              </w:rPr>
              <w:t>满足每条得</w:t>
            </w:r>
            <w:r>
              <w:rPr>
                <w:rFonts w:hint="eastAsia"/>
                <w:color w:val="FF0000"/>
                <w:szCs w:val="21"/>
                <w:lang w:val="en-US" w:eastAsia="zh-CN"/>
              </w:rPr>
              <w:t>1分</w:t>
            </w:r>
            <w:r>
              <w:rPr>
                <w:rFonts w:hint="eastAsia"/>
                <w:szCs w:val="21"/>
                <w:lang w:val="en-US" w:eastAsia="zh-CN"/>
              </w:rPr>
              <w:t>。</w:t>
            </w:r>
          </w:p>
          <w:p>
            <w:pPr>
              <w:rPr>
                <w:b/>
                <w:szCs w:val="21"/>
              </w:rPr>
            </w:pPr>
            <w:r>
              <w:rPr>
                <w:b/>
                <w:bCs/>
                <w:szCs w:val="21"/>
              </w:rPr>
              <w:t>评审依据：根据投标文件得分。</w:t>
            </w:r>
          </w:p>
        </w:tc>
      </w:tr>
      <w:tr>
        <w:tblPrEx>
          <w:tblLayout w:type="fixed"/>
          <w:tblCellMar>
            <w:top w:w="0" w:type="dxa"/>
            <w:left w:w="10" w:type="dxa"/>
            <w:bottom w:w="0" w:type="dxa"/>
            <w:right w:w="10" w:type="dxa"/>
          </w:tblCellMar>
        </w:tblPrEx>
        <w:trPr>
          <w:cantSplit/>
          <w:trHeight w:val="847"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3</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售后服务（</w:t>
            </w:r>
            <w:r>
              <w:rPr>
                <w:rFonts w:hint="eastAsia"/>
                <w:b/>
                <w:szCs w:val="21"/>
                <w:lang w:val="en-US" w:eastAsia="zh-CN"/>
              </w:rPr>
              <w:t>2</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szCs w:val="21"/>
              </w:rPr>
              <w:t>按投标人提供的售后服务及承诺在0～</w:t>
            </w:r>
            <w:r>
              <w:rPr>
                <w:rFonts w:hint="eastAsia"/>
                <w:szCs w:val="21"/>
                <w:lang w:val="en-US" w:eastAsia="zh-CN"/>
              </w:rPr>
              <w:t>2</w:t>
            </w:r>
            <w:r>
              <w:rPr>
                <w:szCs w:val="21"/>
              </w:rPr>
              <w:t>分之间打分。</w:t>
            </w:r>
          </w:p>
          <w:p>
            <w:pPr>
              <w:rPr>
                <w:b/>
                <w:szCs w:val="21"/>
              </w:rPr>
            </w:pPr>
            <w:r>
              <w:rPr>
                <w:b/>
                <w:bCs/>
                <w:szCs w:val="21"/>
              </w:rPr>
              <w:t>评审依据：根据售后服务承诺书得分。</w:t>
            </w:r>
          </w:p>
        </w:tc>
      </w:tr>
    </w:tbl>
    <w:p>
      <w:pPr>
        <w:spacing w:line="440" w:lineRule="exact"/>
        <w:rPr>
          <w:rFonts w:ascii="宋体" w:hAnsi="宋体"/>
          <w:sz w:val="24"/>
        </w:rPr>
      </w:pPr>
      <w:r>
        <w:rPr>
          <w:rFonts w:hint="eastAsia" w:ascii="宋体" w:hAnsi="宋体"/>
          <w:sz w:val="24"/>
        </w:rPr>
        <w:t>注：</w:t>
      </w:r>
      <w:r>
        <w:rPr>
          <w:rFonts w:ascii="宋体" w:hAnsi="宋体"/>
          <w:sz w:val="24"/>
        </w:rPr>
        <w:t xml:space="preserve"> 1.</w:t>
      </w:r>
      <w:r>
        <w:rPr>
          <w:rFonts w:hint="eastAsia" w:ascii="宋体" w:hAnsi="宋体"/>
          <w:sz w:val="24"/>
        </w:rPr>
        <w:t>如提供材料不实，根据投标须知规定，将被取消中标资格，并处没收投标保证金。</w:t>
      </w:r>
    </w:p>
    <w:p>
      <w:pPr>
        <w:spacing w:line="440" w:lineRule="exact"/>
        <w:ind w:firstLine="600"/>
        <w:rPr>
          <w:rFonts w:ascii="宋体" w:hAnsi="宋体"/>
          <w:sz w:val="24"/>
        </w:rPr>
      </w:pPr>
      <w:r>
        <w:rPr>
          <w:rFonts w:ascii="宋体" w:hAnsi="宋体"/>
          <w:sz w:val="24"/>
        </w:rPr>
        <w:t>2.</w:t>
      </w:r>
      <w:r>
        <w:rPr>
          <w:rFonts w:hint="eastAsia" w:ascii="宋体" w:hAnsi="宋体"/>
          <w:sz w:val="24"/>
        </w:rPr>
        <w:t>评标委员会根据评标标准对投标文件评审，推荐合格的且综合得分排序前3的单位为中标候选人。</w:t>
      </w:r>
    </w:p>
    <w:p>
      <w:pPr>
        <w:spacing w:line="420" w:lineRule="exact"/>
        <w:ind w:firstLine="470"/>
        <w:rPr>
          <w:rFonts w:ascii="宋体" w:hAnsi="宋体"/>
          <w:bCs/>
          <w:sz w:val="24"/>
        </w:rPr>
      </w:pPr>
      <w:r>
        <w:rPr>
          <w:rFonts w:hint="eastAsia" w:ascii="宋体" w:hAnsi="宋体"/>
          <w:bCs/>
          <w:sz w:val="24"/>
        </w:rPr>
        <w:t>三、与招标人接触</w:t>
      </w:r>
    </w:p>
    <w:p>
      <w:pPr>
        <w:spacing w:line="440" w:lineRule="exact"/>
        <w:ind w:firstLine="600"/>
        <w:rPr>
          <w:rFonts w:ascii="宋体" w:hAnsi="宋体"/>
          <w:sz w:val="24"/>
        </w:rPr>
      </w:pPr>
      <w:r>
        <w:rPr>
          <w:rFonts w:hint="eastAsia" w:ascii="宋体" w:hAnsi="宋体"/>
          <w:sz w:val="24"/>
        </w:rPr>
        <w:t>1、除按本招标文件规定的外，从开标之日起至授予合同期间，投标人不得就其投标有关的事项与招标人及评委私下接触。</w:t>
      </w:r>
    </w:p>
    <w:p>
      <w:pPr>
        <w:spacing w:line="440" w:lineRule="exact"/>
        <w:ind w:firstLine="600"/>
        <w:rPr>
          <w:rFonts w:ascii="宋体" w:hAnsi="宋体"/>
          <w:sz w:val="24"/>
        </w:rPr>
      </w:pPr>
      <w:r>
        <w:rPr>
          <w:rFonts w:hint="eastAsia" w:ascii="宋体" w:hAnsi="宋体"/>
          <w:sz w:val="24"/>
        </w:rPr>
        <w:t xml:space="preserve">2、投标人试图对评标委员会的评标、比较或授予合同的决定施加任何不正当影响，都可能导致其投标作废标处理。  </w:t>
      </w:r>
    </w:p>
    <w:p/>
    <w:p>
      <w:pPr>
        <w:pStyle w:val="2"/>
      </w:pPr>
    </w:p>
    <w:sectPr>
      <w:headerReference r:id="rId15" w:type="default"/>
      <w:footerReference r:id="rId16" w:type="default"/>
      <w:endnotePr>
        <w:numFmt w:val="decimal"/>
      </w:endnotePr>
      <w:pgSz w:w="11906" w:h="16838"/>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ms Rmn">
    <w:altName w:val="Times New Roman"/>
    <w:panose1 w:val="02020603040505020304"/>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方正黑体简体">
    <w:altName w:val="微软雅黑"/>
    <w:panose1 w:val="00000000000000000000"/>
    <w:charset w:val="86"/>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MS UI Gothic">
    <w:panose1 w:val="020B0600070205080204"/>
    <w:charset w:val="80"/>
    <w:family w:val="auto"/>
    <w:pitch w:val="default"/>
    <w:sig w:usb0="E00002FF" w:usb1="6AC7FDFB" w:usb2="00000012" w:usb3="00000000" w:csb0="4002009F" w:csb1="DFD70000"/>
  </w:font>
  <w:font w:name="Trebuchet MS">
    <w:panose1 w:val="020B0603020202020204"/>
    <w:charset w:val="00"/>
    <w:family w:val="swiss"/>
    <w:pitch w:val="default"/>
    <w:sig w:usb0="00000287" w:usb1="00000000" w:usb2="00000000" w:usb3="00000000" w:csb0="2000009F" w:csb1="00000000"/>
  </w:font>
  <w:font w:name="Calisto MT">
    <w:panose1 w:val="02040603050505030304"/>
    <w:charset w:val="00"/>
    <w:family w:val="roman"/>
    <w:pitch w:val="default"/>
    <w:sig w:usb0="00000003" w:usb1="00000000" w:usb2="00000000" w:usb3="00000000" w:csb0="2000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8CF3C52" w:usb2="00000016" w:usb3="00000000" w:csb0="0004001F" w:csb1="00000000"/>
  </w:font>
  <w:font w:name="等线">
    <w:panose1 w:val="02010600030101010101"/>
    <w:charset w:val="86"/>
    <w:family w:val="auto"/>
    <w:pitch w:val="default"/>
    <w:sig w:usb0="A00002BF" w:usb1="38CF7CFA" w:usb2="00000016" w:usb3="00000000" w:csb0="0004000F"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Simple-Line-Ico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auto"/>
    <w:pitch w:val="default"/>
    <w:sig w:usb0="E10002FF" w:usb1="4000FCFF" w:usb2="00000009" w:usb3="00000000" w:csb0="6000019F" w:csb1="DFD70000"/>
  </w:font>
  <w:font w:name="iconfont">
    <w:altName w:val="Segoe Print"/>
    <w:panose1 w:val="00000000000000000000"/>
    <w:charset w:val="00"/>
    <w:family w:val="auto"/>
    <w:pitch w:val="default"/>
    <w:sig w:usb0="00000000" w:usb1="00000000" w:usb2="00000000" w:usb3="00000000" w:csb0="00000000" w:csb1="00000000"/>
  </w:font>
  <w:font w:name="CAP">
    <w:altName w:val="Segoe Print"/>
    <w:panose1 w:val="00000000000000000000"/>
    <w:charset w:val="00"/>
    <w:family w:val="auto"/>
    <w:pitch w:val="default"/>
    <w:sig w:usb0="00000000" w:usb1="00000000" w:usb2="00000000" w:usb3="00000000" w:csb0="00000000"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syDocfont">
    <w:altName w:val="Segoe Print"/>
    <w:panose1 w:val="00000000000000000000"/>
    <w:charset w:val="00"/>
    <w:family w:val="auto"/>
    <w:pitch w:val="default"/>
    <w:sig w:usb0="00000000" w:usb1="00000000" w:usb2="00000000" w:usb3="00000000" w:csb0="00000000" w:csb1="00000000"/>
  </w:font>
  <w:font w:name="syIconfont">
    <w:altName w:val="Segoe Print"/>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ˎ̥">
    <w:altName w:val="Times New Roman"/>
    <w:panose1 w:val="00000000000000000000"/>
    <w:charset w:val="00"/>
    <w:family w:val="roman"/>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MingLiU_x0004_falt">
    <w:altName w:val="Microsoft JhengHei"/>
    <w:panose1 w:val="02020509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Yu Gothic UI">
    <w:altName w:val="Meiryo UI"/>
    <w:panose1 w:val="020B0500000000000000"/>
    <w:charset w:val="80"/>
    <w:family w:val="auto"/>
    <w:pitch w:val="default"/>
    <w:sig w:usb0="00000000" w:usb1="00000000" w:usb2="00000016" w:usb3="00000000" w:csb0="2002009F" w:csb1="00000000"/>
  </w:font>
  <w:font w:name="Meiryo UI">
    <w:panose1 w:val="020B0604030504040204"/>
    <w:charset w:val="80"/>
    <w:family w:val="auto"/>
    <w:pitch w:val="default"/>
    <w:sig w:usb0="E10102FF" w:usb1="EAC7FFFF" w:usb2="00010012" w:usb3="00000000" w:csb0="6002009F" w:csb1="DFD7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体">
    <w:altName w:val="仿宋"/>
    <w:panose1 w:val="00000000000000000000"/>
    <w:charset w:val="86"/>
    <w:family w:val="roman"/>
    <w:pitch w:val="default"/>
    <w:sig w:usb0="00000000" w:usb1="00000000" w:usb2="00000010" w:usb3="00000000" w:csb0="00040000" w:csb1="00000000"/>
  </w:font>
  <w:font w:name="全真中明體">
    <w:altName w:val="MingLiU-ExtB"/>
    <w:panose1 w:val="00000000000000000000"/>
    <w:charset w:val="88"/>
    <w:family w:val="modern"/>
    <w:pitch w:val="default"/>
    <w:sig w:usb0="00000000" w:usb1="00000000" w:usb2="00000010" w:usb3="00000000" w:csb0="00100000" w:csb1="00000000"/>
  </w:font>
  <w:font w:name="Arial MT">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TKTypeRegular">
    <w:altName w:val="Times New Roman"/>
    <w:panose1 w:val="00000000000000000000"/>
    <w:charset w:val="00"/>
    <w:family w:val="auto"/>
    <w:pitch w:val="default"/>
    <w:sig w:usb0="00000000" w:usb1="00000000" w:usb2="00000000" w:usb3="00000000" w:csb0="00000001" w:csb1="00000000"/>
  </w:font>
  <w:font w:name="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3" name="Text Box 615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1" o:spid="_x0000_s1026" o:spt="202" type="#_x0000_t202" style="position:absolute;left:0pt;margin-left:0pt;margin-top:0pt;height:50pt;width:50pt;visibility:hidden;z-index:25165926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o5QLwfAgAASQ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CKOUC8HwIAAEk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635</wp:posOffset>
              </wp:positionV>
              <wp:extent cx="133350" cy="152400"/>
              <wp:effectExtent l="0" t="0" r="0" b="0"/>
              <wp:wrapSquare wrapText="bothSides"/>
              <wp:docPr id="12" name="文本框5"/>
              <wp:cNvGraphicFramePr/>
              <a:graphic xmlns:a="http://schemas.openxmlformats.org/drawingml/2006/main">
                <a:graphicData uri="http://schemas.microsoft.com/office/word/2010/wordprocessingShape">
                  <wps:wsp>
                    <wps:cNvSpPr txBox="1">
                      <a:spLocks noChangeArrowheads="1"/>
                    </wps:cNvSpPr>
                    <wps:spPr bwMode="auto">
                      <a:xfrm>
                        <a:off x="0" y="0"/>
                        <a:ext cx="133350" cy="152400"/>
                      </a:xfrm>
                      <a:prstGeom prst="rect">
                        <a:avLst/>
                      </a:prstGeom>
                      <a:noFill/>
                      <a:ln>
                        <a:noFill/>
                      </a:ln>
                      <a:effectLst/>
                    </wps:spPr>
                    <wps:txbx>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8</w:t>
                          </w:r>
                          <w:r>
                            <w:rPr>
                              <w:rFonts w:ascii="Calibri" w:hAnsi="Calibri"/>
                              <w:sz w:val="20"/>
                              <w:szCs w:val="20"/>
                            </w:rPr>
                            <w:fldChar w:fldCharType="end"/>
                          </w:r>
                        </w:p>
                      </w:txbxContent>
                    </wps:txbx>
                    <wps:bodyPr rot="0" vert="horz" wrap="square" lIns="0" tIns="0" rIns="0" bIns="0" anchor="t" anchorCtr="0" upright="1">
                      <a:spAutoFit/>
                    </wps:bodyPr>
                  </wps:wsp>
                </a:graphicData>
              </a:graphic>
            </wp:anchor>
          </w:drawing>
        </mc:Choice>
        <mc:Fallback>
          <w:pict>
            <v:shape id="文本框5" o:spid="_x0000_s1026" o:spt="202" type="#_x0000_t202" style="position:absolute;left:0pt;margin-top:0.05pt;height:12pt;width:10.5pt;mso-position-horizontal:center;mso-position-horizontal-relative:margin;mso-wrap-distance-bottom:0pt;mso-wrap-distance-left:0pt;mso-wrap-distance-right:0pt;mso-wrap-distance-top:0pt;z-index:251665408;mso-width-relative:page;mso-height-relative:page;" filled="f" stroked="f" coordsize="21600,21600" o:gfxdata="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rA53tAAAAADAQAADwAAAAAAAAABACAAAAAiAAAAZHJzL2Rvd25yZXYueG1sUEsBAhQAFAAAAAgA&#10;h07iQJsaP+n0AQAAxAMAAA4AAAAAAAAAAQAgAAAAHwEAAGRycy9lMm9Eb2MueG1sUEsFBgAAAAAG&#10;AAYAWQEAAIUFAAAAAA==&#10;">
              <v:fill on="f" focussize="0,0"/>
              <v:stroke on="f"/>
              <v:imagedata o:title=""/>
              <o:lock v:ext="edit" aspectratio="f"/>
              <v:textbox inset="0mm,0mm,0mm,0mm" style="mso-fit-shape-to-text:t;">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8</w:t>
                    </w:r>
                    <w:r>
                      <w:rPr>
                        <w:rFonts w:ascii="Calibri" w:hAnsi="Calibri"/>
                        <w:sz w:val="20"/>
                        <w:szCs w:val="20"/>
                      </w:rPr>
                      <w:fldChar w:fldCharType="end"/>
                    </w:r>
                  </w:p>
                </w:txbxContent>
              </v:textbox>
              <w10:wrap type="square"/>
            </v:shape>
          </w:pict>
        </mc:Fallback>
      </mc:AlternateConten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1" name="Text Box 615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0" o:spid="_x0000_s1026" o:spt="202" type="#_x0000_t202" style="position:absolute;left:0pt;margin-left:0pt;margin-top:0pt;height:50pt;width:50pt;visibility:hidden;z-index:251660288;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r+ixUeAgAASQ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Cr+ixUeAgAASQ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align>top</wp:align>
              </wp:positionV>
              <wp:extent cx="133350" cy="154940"/>
              <wp:effectExtent l="0" t="0" r="0" b="0"/>
              <wp:wrapNone/>
              <wp:docPr id="10" name="文本框2"/>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20</w:t>
                          </w:r>
                          <w:r>
                            <w:rPr>
                              <w:rFonts w:ascii="Calibri" w:hAnsi="Calibri"/>
                              <w:sz w:val="20"/>
                              <w:szCs w:val="20"/>
                            </w:rPr>
                            <w:fldChar w:fldCharType="end"/>
                          </w:r>
                        </w:p>
                      </w:txbxContent>
                    </wps:txbx>
                    <wps:bodyPr rot="0" vert="horz" wrap="square" lIns="0" tIns="0" rIns="0" bIns="0" anchor="t" anchorCtr="0" upright="1">
                      <a:spAutoFit/>
                    </wps:bodyPr>
                  </wps:wsp>
                </a:graphicData>
              </a:graphic>
            </wp:anchor>
          </w:drawing>
        </mc:Choice>
        <mc:Fallback>
          <w:pict>
            <v:shape id="文本框2" o:spid="_x0000_s1026" o:spt="202" type="#_x0000_t202" style="position:absolute;left:0pt;height:12.2pt;width:10.5pt;mso-position-horizontal:center;mso-position-horizontal-relative:margin;mso-position-vertical:top;z-index:251666432;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AqLS/RAAAAAwEAAA8AAAAAAAAAAQAgAAAAIgAAAGRycy9kb3ducmV2LnhtbFBLAQIUABQAAAAI&#10;AIdO4kAM3Am79AEAAMQDAAAOAAAAAAAAAAEAIAAAACABAABkcnMvZTJvRG9jLnhtbFBLBQYAAAAA&#10;BgAGAFkBAACGBQAAAAA=&#10;">
              <v:fill on="f" focussize="0,0"/>
              <v:stroke on="f"/>
              <v:imagedata o:title=""/>
              <o:lock v:ext="edit" aspectratio="f"/>
              <v:textbox inset="0mm,0mm,0mm,0mm" style="mso-fit-shape-to-text:t;">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20</w:t>
                    </w:r>
                    <w:r>
                      <w:rPr>
                        <w:rFonts w:ascii="Calibri" w:hAnsi="Calibri"/>
                        <w:sz w:val="20"/>
                        <w:szCs w:val="20"/>
                      </w:rP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131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9" name="Text Box 614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9" o:spid="_x0000_s1026" o:spt="202" type="#_x0000_t202" style="position:absolute;left:0pt;margin-left:0pt;margin-top:0pt;height:50pt;width:50pt;visibility:hidden;z-index:251661312;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AKzbkIdAgAASA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Q/qy0AAAAAUBAAAPAAAA&#10;AAAAAAEAIAAAACIAAABkcnMvZG93bnJldi54bWxQSwECFAAUAAAACACHTuJAArNuQh0CAABIBAAA&#10;DgAAAAAAAAABACAAAAAfAQAAZHJzL2Uyb0RvYy54bWxQSwUGAAAAAAYABgBZAQAArgU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align>top</wp:align>
              </wp:positionV>
              <wp:extent cx="133350" cy="154940"/>
              <wp:effectExtent l="0" t="0" r="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26</w:t>
                          </w:r>
                          <w:r>
                            <w:rPr>
                              <w:rFonts w:ascii="Calibri" w:hAnsi="Calibri"/>
                              <w:sz w:val="20"/>
                              <w:szCs w:val="20"/>
                            </w:rPr>
                            <w:fldChar w:fldCharType="end"/>
                          </w:r>
                        </w:p>
                      </w:txbxContent>
                    </wps:txbx>
                    <wps:bodyPr rot="0" vert="horz" wrap="square" lIns="0" tIns="0" rIns="0" bIns="0" anchor="t" anchorCtr="0" upright="1">
                      <a:spAutoFit/>
                    </wps:bodyPr>
                  </wps:wsp>
                </a:graphicData>
              </a:graphic>
            </wp:anchor>
          </w:drawing>
        </mc:Choice>
        <mc:Fallback>
          <w:pict>
            <v:shape id="文本框 6" o:spid="_x0000_s1026" o:spt="202" type="#_x0000_t202" style="position:absolute;left:0pt;height:12.2pt;width:10.5pt;mso-position-horizontal:center;mso-position-horizontal-relative:margin;mso-position-vertical:top;z-index:251667456;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Ki0v0QAAAAMBAAAPAAAAAAAAAAEAIAAAACIAAABkcnMvZG93bnJldi54bWxQSwECFAAUAAAA&#10;CACHTuJA6QSdoPUBAADEAwAADgAAAAAAAAABACAAAAAgAQAAZHJzL2Uyb0RvYy54bWxQSwUGAAAA&#10;AAYABgBZAQAAhwUAAAAA&#10;">
              <v:fill on="f" focussize="0,0"/>
              <v:stroke on="f"/>
              <v:imagedata o:title=""/>
              <o:lock v:ext="edit" aspectratio="f"/>
              <v:textbox inset="0mm,0mm,0mm,0mm" style="mso-fit-shape-to-text:t;">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26</w:t>
                    </w:r>
                    <w:r>
                      <w:rPr>
                        <w:rFonts w:ascii="Calibri" w:hAnsi="Calibri"/>
                        <w:sz w:val="20"/>
                        <w:szCs w:val="20"/>
                      </w:rPr>
                      <w:fldChar w:fldCharType="end"/>
                    </w:r>
                  </w:p>
                </w:txbxContent>
              </v:textbox>
            </v:shape>
          </w:pict>
        </mc:Fallback>
      </mc:AlternateContent>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233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7" name="Text Box 614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8" o:spid="_x0000_s1026" o:spt="202" type="#_x0000_t202" style="position:absolute;left:0pt;margin-left:0pt;margin-top:0pt;height:50pt;width:50pt;visibility:hidden;z-index:251662336;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GIcBVIeAgAASAQAAA4AAABkcnMvZTJvRG9jLnhtbK1U247TMBB9R+If&#10;LL/TpKXtsl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GIcBVIeAgAASA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8480" behindDoc="0" locked="0" layoutInCell="1" allowOverlap="1">
              <wp:simplePos x="0" y="0"/>
              <wp:positionH relativeFrom="margin">
                <wp:align>center</wp:align>
              </wp:positionH>
              <wp:positionV relativeFrom="paragraph">
                <wp:posOffset>635</wp:posOffset>
              </wp:positionV>
              <wp:extent cx="133350" cy="154940"/>
              <wp:effectExtent l="0" t="0" r="0" b="0"/>
              <wp:wrapSquare wrapText="bothSides"/>
              <wp:docPr id="6" name="文本框4"/>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27</w:t>
                          </w:r>
                          <w:r>
                            <w:rPr>
                              <w:rFonts w:ascii="Calibri" w:hAnsi="Calibri"/>
                              <w:sz w:val="20"/>
                              <w:szCs w:val="20"/>
                            </w:rPr>
                            <w:fldChar w:fldCharType="end"/>
                          </w:r>
                        </w:p>
                      </w:txbxContent>
                    </wps:txbx>
                    <wps:bodyPr rot="0" vert="horz" wrap="square" lIns="0" tIns="0" rIns="0" bIns="0" anchor="t" anchorCtr="0" upright="1">
                      <a:spAutoFit/>
                    </wps:bodyPr>
                  </wps:wsp>
                </a:graphicData>
              </a:graphic>
            </wp:anchor>
          </w:drawing>
        </mc:Choice>
        <mc:Fallback>
          <w:pict>
            <v:shape id="文本框4" o:spid="_x0000_s1026" o:spt="202" type="#_x0000_t202" style="position:absolute;left:0pt;margin-top:0.05pt;height:12.2pt;width:10.5pt;mso-position-horizontal:center;mso-position-horizontal-relative:margin;mso-wrap-distance-bottom:0pt;mso-wrap-distance-left:0pt;mso-wrap-distance-right:0pt;mso-wrap-distance-top:0pt;z-index:251668480;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wlJrn/UBAADDAwAADgAAAAAAAAABACAAAAAgAQAAZHJzL2Uyb0RvYy54bWxQSwUGAAAA&#10;AAYABgBZAQAAhwUAAAAA&#10;">
              <v:fill on="f" focussize="0,0"/>
              <v:stroke on="f"/>
              <v:imagedata o:title=""/>
              <o:lock v:ext="edit" aspectratio="f"/>
              <v:textbox inset="0mm,0mm,0mm,0mm" style="mso-fit-shape-to-text:t;">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27</w:t>
                    </w:r>
                    <w:r>
                      <w:rPr>
                        <w:rFonts w:ascii="Calibri" w:hAnsi="Calibri"/>
                        <w:sz w:val="20"/>
                        <w:szCs w:val="20"/>
                      </w:rPr>
                      <w:fldChar w:fldCharType="end"/>
                    </w:r>
                  </w:p>
                </w:txbxContent>
              </v:textbox>
              <w10:wrap type="squar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438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3" name="Text Box 614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6" o:spid="_x0000_s1026" o:spt="202" type="#_x0000_t202" style="position:absolute;left:0pt;margin-left:0pt;margin-top:0pt;height:50pt;width:50pt;visibility:hidden;z-index:25166438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Z4Z/YfAgAASA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AmeGf2HwIAAEg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70528" behindDoc="0" locked="0" layoutInCell="1" allowOverlap="1">
              <wp:simplePos x="0" y="0"/>
              <wp:positionH relativeFrom="margin">
                <wp:align>center</wp:align>
              </wp:positionH>
              <wp:positionV relativeFrom="paragraph">
                <wp:posOffset>635</wp:posOffset>
              </wp:positionV>
              <wp:extent cx="133350" cy="154940"/>
              <wp:effectExtent l="0" t="0" r="0" b="0"/>
              <wp:wrapSquare wrapText="bothSides"/>
              <wp:docPr id="2"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42</w:t>
                          </w:r>
                          <w:r>
                            <w:rPr>
                              <w:rFonts w:ascii="Calibri" w:hAnsi="Calibri"/>
                              <w:sz w:val="20"/>
                              <w:szCs w:val="20"/>
                            </w:rPr>
                            <w:fldChar w:fldCharType="end"/>
                          </w:r>
                        </w:p>
                      </w:txbxContent>
                    </wps:txbx>
                    <wps:bodyPr rot="0" vert="horz" wrap="square" lIns="0" tIns="0" rIns="0" bIns="0" anchor="t" anchorCtr="0" upright="1">
                      <a:spAutoFit/>
                    </wps:bodyPr>
                  </wps:wsp>
                </a:graphicData>
              </a:graphic>
            </wp:anchor>
          </w:drawing>
        </mc:Choice>
        <mc:Fallback>
          <w:pict>
            <v:shape id="文本框 8" o:spid="_x0000_s1026" o:spt="202" type="#_x0000_t202" style="position:absolute;left:0pt;margin-top:0.05pt;height:12.2pt;width:10.5pt;mso-position-horizontal:center;mso-position-horizontal-relative:margin;mso-wrap-distance-bottom:0pt;mso-wrap-distance-left:0pt;mso-wrap-distance-right:0pt;mso-wrap-distance-top:0pt;z-index:251670528;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EFGpRvUBAADEAwAADgAAAAAAAAABACAAAAAgAQAAZHJzL2Uyb0RvYy54bWxQSwUGAAAA&#10;AAYABgBZAQAAhwUAAAAA&#10;">
              <v:fill on="f" focussize="0,0"/>
              <v:stroke on="f"/>
              <v:imagedata o:title=""/>
              <o:lock v:ext="edit" aspectratio="f"/>
              <v:textbox inset="0mm,0mm,0mm,0mm" style="mso-fit-shape-to-text:t;">
                <w:txbxContent>
                  <w:p>
                    <w:r>
                      <w:rPr>
                        <w:rFonts w:ascii="Calibri" w:hAnsi="Calibri"/>
                        <w:sz w:val="20"/>
                        <w:szCs w:val="20"/>
                      </w:rPr>
                      <w:fldChar w:fldCharType="begin"/>
                    </w:r>
                    <w:r>
                      <w:rPr>
                        <w:rFonts w:ascii="Calibri" w:hAnsi="Calibri"/>
                        <w:sz w:val="20"/>
                        <w:szCs w:val="20"/>
                      </w:rPr>
                      <w:instrText xml:space="preserve"> PAGE \* Arabic </w:instrText>
                    </w:r>
                    <w:r>
                      <w:rPr>
                        <w:rFonts w:ascii="Calibri" w:hAnsi="Calibri"/>
                        <w:sz w:val="20"/>
                        <w:szCs w:val="20"/>
                      </w:rPr>
                      <w:fldChar w:fldCharType="separate"/>
                    </w:r>
                    <w:r>
                      <w:rPr>
                        <w:rFonts w:ascii="Calibri" w:hAnsi="Calibri"/>
                        <w:sz w:val="20"/>
                        <w:szCs w:val="20"/>
                      </w:rPr>
                      <w:t>42</w:t>
                    </w:r>
                    <w:r>
                      <w:rPr>
                        <w:rFonts w:ascii="Calibri" w:hAnsi="Calibri"/>
                        <w:sz w:val="20"/>
                        <w:szCs w:val="20"/>
                      </w:rP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C1556"/>
    <w:multiLevelType w:val="multilevel"/>
    <w:tmpl w:val="169C1556"/>
    <w:lvl w:ilvl="0" w:tentative="0">
      <w:start w:val="1"/>
      <w:numFmt w:val="decimal"/>
      <w:lvlText w:val="%1."/>
      <w:lvlJc w:val="left"/>
      <w:pPr>
        <w:ind w:left="420" w:firstLine="0"/>
      </w:pPr>
    </w:lvl>
    <w:lvl w:ilvl="1" w:tentative="0">
      <w:start w:val="1"/>
      <w:numFmt w:val="lowerLetter"/>
      <w:lvlText w:val="%2)"/>
      <w:lvlJc w:val="left"/>
      <w:pPr>
        <w:ind w:left="840" w:firstLine="0"/>
      </w:pPr>
    </w:lvl>
    <w:lvl w:ilvl="2" w:tentative="0">
      <w:start w:val="1"/>
      <w:numFmt w:val="lowerRoman"/>
      <w:lvlText w:val="%3."/>
      <w:lvlJc w:val="left"/>
      <w:pPr>
        <w:ind w:left="1260" w:firstLine="0"/>
      </w:pPr>
    </w:lvl>
    <w:lvl w:ilvl="3" w:tentative="0">
      <w:start w:val="1"/>
      <w:numFmt w:val="decimal"/>
      <w:lvlText w:val="%4."/>
      <w:lvlJc w:val="left"/>
      <w:pPr>
        <w:ind w:left="1680" w:firstLine="0"/>
      </w:pPr>
    </w:lvl>
    <w:lvl w:ilvl="4" w:tentative="0">
      <w:start w:val="1"/>
      <w:numFmt w:val="lowerLetter"/>
      <w:lvlText w:val="%5)"/>
      <w:lvlJc w:val="left"/>
      <w:pPr>
        <w:ind w:left="2100" w:firstLine="0"/>
      </w:pPr>
    </w:lvl>
    <w:lvl w:ilvl="5" w:tentative="0">
      <w:start w:val="1"/>
      <w:numFmt w:val="lowerRoman"/>
      <w:lvlText w:val="%6."/>
      <w:lvlJc w:val="left"/>
      <w:pPr>
        <w:ind w:left="2520" w:firstLine="0"/>
      </w:pPr>
    </w:lvl>
    <w:lvl w:ilvl="6" w:tentative="0">
      <w:start w:val="1"/>
      <w:numFmt w:val="decimal"/>
      <w:lvlText w:val="%7."/>
      <w:lvlJc w:val="left"/>
      <w:pPr>
        <w:ind w:left="2940" w:firstLine="0"/>
      </w:pPr>
    </w:lvl>
    <w:lvl w:ilvl="7" w:tentative="0">
      <w:start w:val="1"/>
      <w:numFmt w:val="lowerLetter"/>
      <w:lvlText w:val="%8)"/>
      <w:lvlJc w:val="left"/>
      <w:pPr>
        <w:ind w:left="3360" w:firstLine="0"/>
      </w:pPr>
    </w:lvl>
    <w:lvl w:ilvl="8" w:tentative="0">
      <w:start w:val="1"/>
      <w:numFmt w:val="lowerRoman"/>
      <w:lvlText w:val="%9."/>
      <w:lvlJc w:val="left"/>
      <w:pPr>
        <w:ind w:left="3780" w:firstLine="0"/>
      </w:pPr>
    </w:lvl>
  </w:abstractNum>
  <w:abstractNum w:abstractNumId="1">
    <w:nsid w:val="614C7F79"/>
    <w:multiLevelType w:val="singleLevel"/>
    <w:tmpl w:val="614C7F79"/>
    <w:lvl w:ilvl="0" w:tentative="0">
      <w:start w:val="2"/>
      <w:numFmt w:val="chineseCounting"/>
      <w:suff w:val="nothing"/>
      <w:lvlText w:val="（%1）"/>
      <w:lvlJc w:val="left"/>
    </w:lvl>
  </w:abstractNum>
  <w:abstractNum w:abstractNumId="2">
    <w:nsid w:val="61516430"/>
    <w:multiLevelType w:val="singleLevel"/>
    <w:tmpl w:val="61516430"/>
    <w:lvl w:ilvl="0" w:tentative="0">
      <w:start w:val="4"/>
      <w:numFmt w:val="chineseCounting"/>
      <w:suff w:val="nothing"/>
      <w:lvlText w:val="%1、"/>
      <w:lvlJc w:val="left"/>
    </w:lvl>
  </w:abstractNum>
  <w:abstractNum w:abstractNumId="3">
    <w:nsid w:val="6151ADD2"/>
    <w:multiLevelType w:val="singleLevel"/>
    <w:tmpl w:val="6151ADD2"/>
    <w:lvl w:ilvl="0" w:tentative="0">
      <w:start w:val="3"/>
      <w:numFmt w:val="decimal"/>
      <w:suff w:val="nothing"/>
      <w:lvlText w:val="%1."/>
      <w:lvlJc w:val="left"/>
    </w:lvl>
  </w:abstractNum>
  <w:abstractNum w:abstractNumId="4">
    <w:nsid w:val="748C75F2"/>
    <w:multiLevelType w:val="multilevel"/>
    <w:tmpl w:val="748C75F2"/>
    <w:lvl w:ilvl="0" w:tentative="0">
      <w:start w:val="1"/>
      <w:numFmt w:val="decimal"/>
      <w:lvlText w:val="%1."/>
      <w:lvlJc w:val="left"/>
      <w:pPr>
        <w:ind w:left="435" w:firstLine="0"/>
      </w:pPr>
      <w:rPr>
        <w:rFonts w:ascii="Times New Roman" w:hAnsi="Times New Roman"/>
      </w:rPr>
    </w:lvl>
    <w:lvl w:ilvl="1" w:tentative="0">
      <w:start w:val="0"/>
      <w:numFmt w:val="none"/>
      <w:lvlText w:val=""/>
      <w:lvlJc w:val="left"/>
      <w:pPr>
        <w:ind w:left="0" w:firstLine="0"/>
      </w:pPr>
    </w:lvl>
    <w:lvl w:ilvl="2" w:tentative="0">
      <w:start w:val="0"/>
      <w:numFmt w:val="none"/>
      <w:lvlText w:val=""/>
      <w:lvlJc w:val="left"/>
      <w:pPr>
        <w:ind w:left="0" w:firstLine="0"/>
      </w:pPr>
    </w:lvl>
    <w:lvl w:ilvl="3" w:tentative="0">
      <w:start w:val="0"/>
      <w:numFmt w:val="none"/>
      <w:lvlText w:val=""/>
      <w:lvlJc w:val="left"/>
      <w:pPr>
        <w:ind w:left="0" w:firstLine="0"/>
      </w:pPr>
    </w:lvl>
    <w:lvl w:ilvl="4" w:tentative="0">
      <w:start w:val="0"/>
      <w:numFmt w:val="none"/>
      <w:lvlText w:val=""/>
      <w:lvlJc w:val="left"/>
      <w:pPr>
        <w:ind w:left="0" w:firstLine="0"/>
      </w:pPr>
    </w:lvl>
    <w:lvl w:ilvl="5" w:tentative="0">
      <w:start w:val="0"/>
      <w:numFmt w:val="none"/>
      <w:lvlText w:val=""/>
      <w:lvlJc w:val="left"/>
      <w:pPr>
        <w:ind w:left="0" w:firstLine="0"/>
      </w:pPr>
    </w:lvl>
    <w:lvl w:ilvl="6" w:tentative="0">
      <w:start w:val="0"/>
      <w:numFmt w:val="none"/>
      <w:lvlText w:val=""/>
      <w:lvlJc w:val="left"/>
      <w:pPr>
        <w:ind w:left="0" w:firstLine="0"/>
      </w:pPr>
    </w:lvl>
    <w:lvl w:ilvl="7" w:tentative="0">
      <w:start w:val="0"/>
      <w:numFmt w:val="none"/>
      <w:lvlText w:val=""/>
      <w:lvlJc w:val="left"/>
      <w:pPr>
        <w:ind w:left="0" w:firstLine="0"/>
      </w:pPr>
    </w:lvl>
    <w:lvl w:ilvl="8" w:tentative="0">
      <w:start w:val="0"/>
      <w:numFmt w:val="none"/>
      <w:lvlText w:val=""/>
      <w:lvlJc w:val="left"/>
      <w:pPr>
        <w:ind w:left="0" w:firstLine="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105"/>
  <w:drawingGridVerticalSpacing w:val="156"/>
  <w:characterSpacingControl w:val="doNotCompress"/>
  <w:endnotePr>
    <w:numFmt w:val="decimal"/>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949"/>
    <w:rsid w:val="000357ED"/>
    <w:rsid w:val="000929D0"/>
    <w:rsid w:val="00096E0C"/>
    <w:rsid w:val="000A7639"/>
    <w:rsid w:val="000C7BE8"/>
    <w:rsid w:val="000D5F05"/>
    <w:rsid w:val="00103D84"/>
    <w:rsid w:val="0011349D"/>
    <w:rsid w:val="001231E4"/>
    <w:rsid w:val="0013053D"/>
    <w:rsid w:val="001541C3"/>
    <w:rsid w:val="00174273"/>
    <w:rsid w:val="00195DEC"/>
    <w:rsid w:val="001A7EBA"/>
    <w:rsid w:val="001C32E9"/>
    <w:rsid w:val="002007EB"/>
    <w:rsid w:val="00215413"/>
    <w:rsid w:val="00261622"/>
    <w:rsid w:val="0028275B"/>
    <w:rsid w:val="00292CFD"/>
    <w:rsid w:val="002B130C"/>
    <w:rsid w:val="002B3D94"/>
    <w:rsid w:val="002B7D39"/>
    <w:rsid w:val="002F65D8"/>
    <w:rsid w:val="002F6718"/>
    <w:rsid w:val="0030700D"/>
    <w:rsid w:val="00312890"/>
    <w:rsid w:val="00361E77"/>
    <w:rsid w:val="00385CB8"/>
    <w:rsid w:val="003A68C9"/>
    <w:rsid w:val="003D7A3A"/>
    <w:rsid w:val="004115E8"/>
    <w:rsid w:val="004460DD"/>
    <w:rsid w:val="004624BA"/>
    <w:rsid w:val="00466ED1"/>
    <w:rsid w:val="00482A50"/>
    <w:rsid w:val="00491FC0"/>
    <w:rsid w:val="004D09FE"/>
    <w:rsid w:val="004E423D"/>
    <w:rsid w:val="00512759"/>
    <w:rsid w:val="0057144C"/>
    <w:rsid w:val="00573FF0"/>
    <w:rsid w:val="005830CA"/>
    <w:rsid w:val="005907B0"/>
    <w:rsid w:val="005A4813"/>
    <w:rsid w:val="005E0C67"/>
    <w:rsid w:val="0061054F"/>
    <w:rsid w:val="00644F82"/>
    <w:rsid w:val="00672219"/>
    <w:rsid w:val="006B7908"/>
    <w:rsid w:val="006C389B"/>
    <w:rsid w:val="006F37B9"/>
    <w:rsid w:val="00730EE1"/>
    <w:rsid w:val="00732011"/>
    <w:rsid w:val="0073456B"/>
    <w:rsid w:val="00736179"/>
    <w:rsid w:val="007372F1"/>
    <w:rsid w:val="007461B5"/>
    <w:rsid w:val="007536CD"/>
    <w:rsid w:val="00756949"/>
    <w:rsid w:val="007765D8"/>
    <w:rsid w:val="00776D92"/>
    <w:rsid w:val="00791733"/>
    <w:rsid w:val="00794631"/>
    <w:rsid w:val="0079582F"/>
    <w:rsid w:val="007A3665"/>
    <w:rsid w:val="007F31F7"/>
    <w:rsid w:val="0080743F"/>
    <w:rsid w:val="008157EA"/>
    <w:rsid w:val="00822F23"/>
    <w:rsid w:val="00855CEA"/>
    <w:rsid w:val="008A22B5"/>
    <w:rsid w:val="008F7F79"/>
    <w:rsid w:val="00901470"/>
    <w:rsid w:val="0093349B"/>
    <w:rsid w:val="00957F62"/>
    <w:rsid w:val="00960521"/>
    <w:rsid w:val="009B26D6"/>
    <w:rsid w:val="009B404A"/>
    <w:rsid w:val="009C2D99"/>
    <w:rsid w:val="009C7FA4"/>
    <w:rsid w:val="009F0A12"/>
    <w:rsid w:val="009F6C2E"/>
    <w:rsid w:val="009F7B3D"/>
    <w:rsid w:val="00A023B6"/>
    <w:rsid w:val="00A6382C"/>
    <w:rsid w:val="00A70B0D"/>
    <w:rsid w:val="00A72275"/>
    <w:rsid w:val="00A8784E"/>
    <w:rsid w:val="00AB2979"/>
    <w:rsid w:val="00AD008E"/>
    <w:rsid w:val="00B2626D"/>
    <w:rsid w:val="00B453B6"/>
    <w:rsid w:val="00B641FB"/>
    <w:rsid w:val="00BA5EE2"/>
    <w:rsid w:val="00BC4508"/>
    <w:rsid w:val="00BD404F"/>
    <w:rsid w:val="00BF5129"/>
    <w:rsid w:val="00C11CA4"/>
    <w:rsid w:val="00C17211"/>
    <w:rsid w:val="00C43E4B"/>
    <w:rsid w:val="00C733AA"/>
    <w:rsid w:val="00C74B7E"/>
    <w:rsid w:val="00CA0786"/>
    <w:rsid w:val="00CD6A75"/>
    <w:rsid w:val="00CE3A4E"/>
    <w:rsid w:val="00CF7381"/>
    <w:rsid w:val="00D00C67"/>
    <w:rsid w:val="00D2334C"/>
    <w:rsid w:val="00D25E84"/>
    <w:rsid w:val="00D5173A"/>
    <w:rsid w:val="00D518F9"/>
    <w:rsid w:val="00D5327B"/>
    <w:rsid w:val="00D54B2E"/>
    <w:rsid w:val="00D56364"/>
    <w:rsid w:val="00D975B9"/>
    <w:rsid w:val="00DD4D46"/>
    <w:rsid w:val="00DE5BF6"/>
    <w:rsid w:val="00DF0B48"/>
    <w:rsid w:val="00DF571D"/>
    <w:rsid w:val="00E066C2"/>
    <w:rsid w:val="00E13295"/>
    <w:rsid w:val="00E224F3"/>
    <w:rsid w:val="00E72F43"/>
    <w:rsid w:val="00E73084"/>
    <w:rsid w:val="00EC50E6"/>
    <w:rsid w:val="00F14BA8"/>
    <w:rsid w:val="00F27959"/>
    <w:rsid w:val="00F414BA"/>
    <w:rsid w:val="00F7385E"/>
    <w:rsid w:val="00FB0732"/>
    <w:rsid w:val="00FB4284"/>
    <w:rsid w:val="00FC05C6"/>
    <w:rsid w:val="00FC602E"/>
    <w:rsid w:val="00FE78DB"/>
    <w:rsid w:val="01976EBB"/>
    <w:rsid w:val="059638F9"/>
    <w:rsid w:val="05D37115"/>
    <w:rsid w:val="067155BA"/>
    <w:rsid w:val="0A520EE8"/>
    <w:rsid w:val="0B2A4ADF"/>
    <w:rsid w:val="0CA13F40"/>
    <w:rsid w:val="0EDE43E4"/>
    <w:rsid w:val="0F7678D1"/>
    <w:rsid w:val="10EB102E"/>
    <w:rsid w:val="144A33D8"/>
    <w:rsid w:val="15A4676E"/>
    <w:rsid w:val="196F7E47"/>
    <w:rsid w:val="1A4B6513"/>
    <w:rsid w:val="1BE77A10"/>
    <w:rsid w:val="1C2300CA"/>
    <w:rsid w:val="1D531B73"/>
    <w:rsid w:val="1E151DCC"/>
    <w:rsid w:val="1F080478"/>
    <w:rsid w:val="1F4148A9"/>
    <w:rsid w:val="1F612108"/>
    <w:rsid w:val="219240D7"/>
    <w:rsid w:val="259F34ED"/>
    <w:rsid w:val="262B5EA3"/>
    <w:rsid w:val="262F636A"/>
    <w:rsid w:val="2634506C"/>
    <w:rsid w:val="2647348B"/>
    <w:rsid w:val="26E624A1"/>
    <w:rsid w:val="2B413440"/>
    <w:rsid w:val="2CEB5003"/>
    <w:rsid w:val="2DE75806"/>
    <w:rsid w:val="2F1E7E3B"/>
    <w:rsid w:val="2F8255B3"/>
    <w:rsid w:val="330F2308"/>
    <w:rsid w:val="34E03F18"/>
    <w:rsid w:val="37C040A3"/>
    <w:rsid w:val="38582EFF"/>
    <w:rsid w:val="3C5D53EE"/>
    <w:rsid w:val="3DF33A25"/>
    <w:rsid w:val="3EDF42EB"/>
    <w:rsid w:val="41DE2DC6"/>
    <w:rsid w:val="423F37A1"/>
    <w:rsid w:val="46F7565E"/>
    <w:rsid w:val="47C471FB"/>
    <w:rsid w:val="4CE247B2"/>
    <w:rsid w:val="4FFB746A"/>
    <w:rsid w:val="515724DD"/>
    <w:rsid w:val="534C3016"/>
    <w:rsid w:val="535A424B"/>
    <w:rsid w:val="566F164C"/>
    <w:rsid w:val="567313AA"/>
    <w:rsid w:val="58BE5C47"/>
    <w:rsid w:val="5B4A247F"/>
    <w:rsid w:val="5EB54468"/>
    <w:rsid w:val="5F295A74"/>
    <w:rsid w:val="61374EA6"/>
    <w:rsid w:val="61A97200"/>
    <w:rsid w:val="658D0FBD"/>
    <w:rsid w:val="65E6396F"/>
    <w:rsid w:val="663539CD"/>
    <w:rsid w:val="675A6D2A"/>
    <w:rsid w:val="6D9F4A95"/>
    <w:rsid w:val="6E1C0053"/>
    <w:rsid w:val="702F52FB"/>
    <w:rsid w:val="724A416D"/>
    <w:rsid w:val="75B9512B"/>
    <w:rsid w:val="76666BC0"/>
    <w:rsid w:val="77497440"/>
    <w:rsid w:val="782E0AD8"/>
    <w:rsid w:val="78453E9E"/>
    <w:rsid w:val="79D861F8"/>
    <w:rsid w:val="7E4D4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
    <w:name w:val="heading 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340" w:after="330" w:line="578" w:lineRule="auto"/>
      <w:jc w:val="both"/>
      <w:outlineLvl w:val="0"/>
    </w:pPr>
    <w:rPr>
      <w:rFonts w:ascii="Times New Roman" w:hAnsi="Times New Roman" w:eastAsia="宋体" w:cs="Times New Roman"/>
      <w:b/>
      <w:kern w:val="1"/>
      <w:sz w:val="44"/>
      <w:lang w:val="en-US" w:eastAsia="zh-CN" w:bidi="ar-SA"/>
    </w:rPr>
  </w:style>
  <w:style w:type="paragraph" w:styleId="4">
    <w:name w:val="heading 2"/>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1"/>
    </w:pPr>
    <w:rPr>
      <w:rFonts w:ascii="Arial" w:hAnsi="Arial" w:eastAsia="黑体" w:cs="Times New Roman"/>
      <w:b/>
      <w:kern w:val="1"/>
      <w:sz w:val="32"/>
      <w:lang w:val="en-US" w:eastAsia="zh-CN" w:bidi="ar-SA"/>
    </w:rPr>
  </w:style>
  <w:style w:type="paragraph" w:styleId="5">
    <w:name w:val="heading 3"/>
    <w:basedOn w:val="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2"/>
    </w:pPr>
    <w:rPr>
      <w:rFonts w:ascii="Times New Roman" w:hAnsi="Times New Roman" w:eastAsia="宋体" w:cs="Times New Roman"/>
      <w:b/>
      <w:kern w:val="1"/>
      <w:sz w:val="24"/>
      <w:lang w:val="en-US" w:eastAsia="zh-CN" w:bidi="ar-SA"/>
    </w:rPr>
  </w:style>
  <w:style w:type="paragraph" w:styleId="6">
    <w:name w:val="heading 4"/>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3"/>
    </w:pPr>
    <w:rPr>
      <w:rFonts w:ascii="Arial" w:hAnsi="Arial" w:eastAsia="黑体" w:cs="Times New Roman"/>
      <w:b/>
      <w:kern w:val="1"/>
      <w:sz w:val="28"/>
      <w:lang w:val="en-US" w:eastAsia="zh-CN" w:bidi="ar-SA"/>
    </w:rPr>
  </w:style>
  <w:style w:type="paragraph" w:styleId="7">
    <w:name w:val="heading 5"/>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4"/>
    </w:pPr>
    <w:rPr>
      <w:rFonts w:ascii="Times New Roman" w:hAnsi="Times New Roman" w:eastAsia="宋体" w:cs="Times New Roman"/>
      <w:b/>
      <w:kern w:val="1"/>
      <w:sz w:val="28"/>
      <w:lang w:val="en-US" w:eastAsia="zh-CN" w:bidi="ar-SA"/>
    </w:rPr>
  </w:style>
  <w:style w:type="paragraph" w:styleId="8">
    <w:name w:val="heading 6"/>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5"/>
    </w:pPr>
    <w:rPr>
      <w:rFonts w:ascii="Arial" w:hAnsi="Arial" w:eastAsia="黑体" w:cs="Times New Roman"/>
      <w:b/>
      <w:kern w:val="1"/>
      <w:sz w:val="24"/>
      <w:lang w:val="en-US" w:eastAsia="zh-CN" w:bidi="ar-SA"/>
    </w:rPr>
  </w:style>
  <w:style w:type="paragraph" w:styleId="9">
    <w:name w:val="heading 7"/>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6"/>
    </w:pPr>
    <w:rPr>
      <w:rFonts w:ascii="Times New Roman" w:hAnsi="Times New Roman" w:eastAsia="宋体" w:cs="Times New Roman"/>
      <w:b/>
      <w:kern w:val="1"/>
      <w:sz w:val="24"/>
      <w:lang w:val="en-US" w:eastAsia="zh-CN" w:bidi="ar-SA"/>
    </w:rPr>
  </w:style>
  <w:style w:type="paragraph" w:styleId="10">
    <w:name w:val="heading 8"/>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7"/>
    </w:pPr>
    <w:rPr>
      <w:rFonts w:ascii="Arial" w:hAnsi="Arial" w:eastAsia="黑体" w:cs="Times New Roman"/>
      <w:kern w:val="1"/>
      <w:sz w:val="24"/>
      <w:lang w:val="en-US" w:eastAsia="zh-CN" w:bidi="ar-SA"/>
    </w:rPr>
  </w:style>
  <w:style w:type="paragraph" w:styleId="11">
    <w:name w:val="heading 9"/>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8"/>
    </w:pPr>
    <w:rPr>
      <w:rFonts w:ascii="Arial" w:hAnsi="Arial" w:eastAsia="黑体" w:cs="Times New Roman"/>
      <w:kern w:val="1"/>
      <w:sz w:val="21"/>
      <w:lang w:val="en-US" w:eastAsia="zh-CN" w:bidi="ar-SA"/>
    </w:rPr>
  </w:style>
  <w:style w:type="character" w:default="1" w:styleId="37">
    <w:name w:val="Default Paragraph Font"/>
    <w:unhideWhenUsed/>
    <w:qFormat/>
    <w:uiPriority w:val="1"/>
  </w:style>
  <w:style w:type="table" w:default="1" w:styleId="42">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60" w:lineRule="exact"/>
    </w:pPr>
    <w:rPr>
      <w:rFonts w:ascii="Times New Roman" w:hAnsi="Times New Roman" w:eastAsia="宋体" w:cs="Times New Roman"/>
      <w:kern w:val="1"/>
      <w:sz w:val="24"/>
      <w:szCs w:val="24"/>
      <w:lang w:val="en-US" w:eastAsia="zh-CN" w:bidi="ar-SA"/>
    </w:rPr>
  </w:style>
  <w:style w:type="paragraph" w:styleId="12">
    <w:name w:val="toc 7"/>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260"/>
    </w:pPr>
    <w:rPr>
      <w:rFonts w:ascii="Times New Roman" w:hAnsi="Times New Roman" w:eastAsia="宋体" w:cs="Times New Roman"/>
      <w:kern w:val="1"/>
      <w:sz w:val="18"/>
      <w:szCs w:val="18"/>
      <w:lang w:val="en-US" w:eastAsia="zh-CN" w:bidi="ar-SA"/>
    </w:rPr>
  </w:style>
  <w:style w:type="paragraph" w:styleId="13">
    <w:name w:val="Normal Indent"/>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styleId="14">
    <w:name w:val="Document Map"/>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18"/>
      <w:szCs w:val="18"/>
      <w:lang w:val="en-US" w:eastAsia="zh-CN" w:bidi="ar-SA"/>
    </w:rPr>
  </w:style>
  <w:style w:type="paragraph" w:styleId="15">
    <w:name w:val="annotation text"/>
    <w:basedOn w:val="1"/>
    <w:unhideWhenUsed/>
    <w:qFormat/>
    <w:uiPriority w:val="99"/>
    <w:pPr>
      <w:jc w:val="left"/>
    </w:pPr>
  </w:style>
  <w:style w:type="paragraph" w:styleId="16">
    <w:name w:val="Body Text 3"/>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120"/>
      <w:jc w:val="both"/>
    </w:pPr>
    <w:rPr>
      <w:rFonts w:ascii="Times New Roman" w:hAnsi="Times New Roman" w:eastAsia="宋体" w:cs="Times New Roman"/>
      <w:kern w:val="1"/>
      <w:sz w:val="16"/>
      <w:szCs w:val="16"/>
      <w:lang w:val="en-US" w:eastAsia="zh-CN" w:bidi="ar-SA"/>
    </w:rPr>
  </w:style>
  <w:style w:type="paragraph" w:styleId="17">
    <w:name w:val="Body Text Inden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ind w:firstLine="480"/>
    </w:pPr>
    <w:rPr>
      <w:rFonts w:ascii="宋体" w:hAnsi="宋体" w:eastAsia="宋体" w:cs="Times New Roman"/>
      <w:kern w:val="1"/>
      <w:sz w:val="24"/>
      <w:lang w:val="en-US" w:eastAsia="zh-CN" w:bidi="ar-SA"/>
    </w:rPr>
  </w:style>
  <w:style w:type="paragraph" w:styleId="18">
    <w:name w:val="toc 5"/>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840"/>
    </w:pPr>
    <w:rPr>
      <w:rFonts w:ascii="Times New Roman" w:hAnsi="Times New Roman" w:eastAsia="宋体" w:cs="Times New Roman"/>
      <w:kern w:val="1"/>
      <w:sz w:val="18"/>
      <w:szCs w:val="18"/>
      <w:lang w:val="en-US" w:eastAsia="zh-CN" w:bidi="ar-SA"/>
    </w:rPr>
  </w:style>
  <w:style w:type="paragraph" w:styleId="19">
    <w:name w:val="toc 3"/>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ind w:left="420"/>
    </w:pPr>
    <w:rPr>
      <w:rFonts w:ascii="Times New Roman" w:hAnsi="Times New Roman" w:eastAsia="宋体" w:cs="Times New Roman"/>
      <w:i/>
      <w:iCs/>
      <w:kern w:val="1"/>
      <w:lang w:val="en-US" w:eastAsia="zh-CN" w:bidi="ar-SA"/>
    </w:rPr>
  </w:style>
  <w:style w:type="paragraph" w:styleId="20">
    <w:name w:val="Plain Text"/>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24"/>
      <w:szCs w:val="22"/>
      <w:lang w:val="en-US" w:eastAsia="zh-CN" w:bidi="ar-SA"/>
    </w:rPr>
  </w:style>
  <w:style w:type="paragraph" w:styleId="21">
    <w:name w:val="toc 8"/>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470"/>
    </w:pPr>
    <w:rPr>
      <w:rFonts w:ascii="Times New Roman" w:hAnsi="Times New Roman" w:eastAsia="宋体" w:cs="Times New Roman"/>
      <w:kern w:val="1"/>
      <w:sz w:val="18"/>
      <w:szCs w:val="18"/>
      <w:lang w:val="en-US" w:eastAsia="zh-CN" w:bidi="ar-SA"/>
    </w:rPr>
  </w:style>
  <w:style w:type="paragraph" w:styleId="22">
    <w:name w:val="Date"/>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0"/>
      <w:jc w:val="both"/>
    </w:pPr>
    <w:rPr>
      <w:rFonts w:ascii="Times New Roman" w:hAnsi="Times New Roman" w:eastAsia="宋体" w:cs="Times New Roman"/>
      <w:kern w:val="1"/>
      <w:sz w:val="24"/>
      <w:szCs w:val="24"/>
      <w:lang w:val="en-US" w:eastAsia="zh-CN" w:bidi="ar-SA"/>
    </w:rPr>
  </w:style>
  <w:style w:type="paragraph" w:styleId="23">
    <w:name w:val="Body Tex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12" w:lineRule="auto"/>
      <w:ind w:firstLine="480"/>
      <w:jc w:val="both"/>
    </w:pPr>
    <w:rPr>
      <w:rFonts w:ascii="Calibri" w:hAnsi="Calibri" w:eastAsia="Calibri" w:cs="Times New Roman"/>
      <w:kern w:val="1"/>
      <w:sz w:val="24"/>
      <w:szCs w:val="22"/>
      <w:lang w:val="en-US" w:eastAsia="zh-CN" w:bidi="ar-SA"/>
    </w:rPr>
  </w:style>
  <w:style w:type="paragraph" w:styleId="24">
    <w:name w:val="Balloon Text"/>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18"/>
      <w:szCs w:val="18"/>
      <w:lang w:val="en-US" w:eastAsia="zh-CN" w:bidi="ar-SA"/>
    </w:rPr>
  </w:style>
  <w:style w:type="paragraph" w:styleId="25">
    <w:name w:val="footer"/>
    <w:basedOn w:val="1"/>
    <w:link w:val="103"/>
    <w:unhideWhenUsed/>
    <w:qFormat/>
    <w:uiPriority w:val="99"/>
    <w:pPr>
      <w:tabs>
        <w:tab w:val="center" w:pos="4153"/>
        <w:tab w:val="right" w:pos="8306"/>
      </w:tabs>
      <w:snapToGrid w:val="0"/>
      <w:jc w:val="left"/>
    </w:pPr>
    <w:rPr>
      <w:sz w:val="18"/>
      <w:szCs w:val="18"/>
    </w:rPr>
  </w:style>
  <w:style w:type="paragraph" w:styleId="26">
    <w:name w:val="Body Text First Indent 2"/>
    <w:basedOn w:val="17"/>
    <w:unhideWhenUsed/>
    <w:qFormat/>
    <w:uiPriority w:val="99"/>
    <w:pPr>
      <w:tabs>
        <w:tab w:val="left" w:pos="945"/>
        <w:tab w:val="left" w:pos="1155"/>
      </w:tabs>
      <w:spacing w:after="0" w:line="360" w:lineRule="auto"/>
      <w:ind w:firstLine="200" w:firstLineChars="200"/>
    </w:pPr>
  </w:style>
  <w:style w:type="paragraph" w:styleId="27">
    <w:name w:val="header"/>
    <w:basedOn w:val="1"/>
    <w:link w:val="102"/>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toc 1"/>
    <w:next w:val="1"/>
    <w:qFormat/>
    <w:uiPriority w:val="39"/>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29">
    <w:name w:val="toc 4"/>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630"/>
    </w:pPr>
    <w:rPr>
      <w:rFonts w:ascii="Times New Roman" w:hAnsi="Times New Roman" w:eastAsia="宋体" w:cs="Times New Roman"/>
      <w:kern w:val="1"/>
      <w:sz w:val="18"/>
      <w:szCs w:val="18"/>
      <w:lang w:val="en-US" w:eastAsia="zh-CN" w:bidi="ar-SA"/>
    </w:rPr>
  </w:style>
  <w:style w:type="paragraph" w:styleId="30">
    <w:name w:val="toc 6"/>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50"/>
    </w:pPr>
    <w:rPr>
      <w:rFonts w:ascii="Times New Roman" w:hAnsi="Times New Roman" w:eastAsia="宋体" w:cs="Times New Roman"/>
      <w:kern w:val="1"/>
      <w:sz w:val="18"/>
      <w:szCs w:val="18"/>
      <w:lang w:val="en-US" w:eastAsia="zh-CN" w:bidi="ar-SA"/>
    </w:rPr>
  </w:style>
  <w:style w:type="paragraph" w:styleId="31">
    <w:name w:val="Body Text Indent 3"/>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left" w:pos="720"/>
      </w:tabs>
      <w:spacing w:line="460" w:lineRule="exact"/>
      <w:ind w:firstLine="471"/>
    </w:pPr>
    <w:rPr>
      <w:rFonts w:ascii="Times New Roman" w:hAnsi="Times New Roman" w:eastAsia="宋体" w:cs="Times New Roman"/>
      <w:kern w:val="1"/>
      <w:sz w:val="24"/>
      <w:szCs w:val="24"/>
      <w:lang w:val="en-US" w:eastAsia="zh-CN" w:bidi="ar-SA"/>
    </w:rPr>
  </w:style>
  <w:style w:type="paragraph" w:styleId="32">
    <w:name w:val="toc 2"/>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tabs>
        <w:tab w:val="right" w:leader="dot" w:pos="9629"/>
      </w:tabs>
      <w:ind w:left="420"/>
      <w:jc w:val="center"/>
    </w:pPr>
    <w:rPr>
      <w:rFonts w:ascii="Times New Roman" w:hAnsi="Times New Roman" w:eastAsia="宋体" w:cs="Times New Roman"/>
      <w:kern w:val="1"/>
      <w:sz w:val="24"/>
      <w:szCs w:val="24"/>
      <w:lang w:val="en-US" w:eastAsia="zh-CN" w:bidi="ar-SA"/>
    </w:rPr>
  </w:style>
  <w:style w:type="paragraph" w:styleId="33">
    <w:name w:val="toc 9"/>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680"/>
    </w:pPr>
    <w:rPr>
      <w:rFonts w:ascii="Times New Roman" w:hAnsi="Times New Roman" w:eastAsia="宋体" w:cs="Times New Roman"/>
      <w:kern w:val="1"/>
      <w:sz w:val="18"/>
      <w:szCs w:val="18"/>
      <w:lang w:val="en-US" w:eastAsia="zh-CN" w:bidi="ar-SA"/>
    </w:rPr>
  </w:style>
  <w:style w:type="paragraph" w:styleId="34">
    <w:name w:val="HTML Preformatted"/>
    <w:qFormat/>
    <w:uiPriority w:val="0"/>
    <w:pPr>
      <w:pBdr>
        <w:top w:val="none" w:color="000000" w:sz="0" w:space="3"/>
        <w:left w:val="none" w:color="000000" w:sz="0" w:space="3"/>
        <w:bottom w:val="none" w:color="000000" w:sz="0" w:space="3"/>
        <w:right w:val="none" w:color="000000" w:sz="0" w:space="3"/>
        <w:between w:val="none" w:color="000000"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Calibri" w:cs="Times New Roman"/>
      <w:kern w:val="1"/>
      <w:sz w:val="24"/>
      <w:szCs w:val="24"/>
      <w:lang w:val="en-US" w:eastAsia="zh-CN" w:bidi="ar-SA"/>
    </w:rPr>
  </w:style>
  <w:style w:type="paragraph" w:styleId="35">
    <w:name w:val="Normal (Web)"/>
    <w:qFormat/>
    <w:uiPriority w:val="0"/>
    <w:pPr>
      <w:pBdr>
        <w:top w:val="none" w:color="000000" w:sz="0" w:space="3"/>
        <w:left w:val="none" w:color="000000" w:sz="0" w:space="3"/>
        <w:bottom w:val="none" w:color="000000" w:sz="0" w:space="3"/>
        <w:right w:val="none" w:color="000000" w:sz="0" w:space="3"/>
        <w:between w:val="none" w:color="000000" w:sz="0" w:space="0"/>
      </w:pBdr>
      <w:spacing w:before="180" w:after="180"/>
    </w:pPr>
    <w:rPr>
      <w:rFonts w:ascii="宋体" w:hAnsi="宋体" w:eastAsia="宋体" w:cs="宋体"/>
      <w:kern w:val="1"/>
      <w:sz w:val="24"/>
      <w:szCs w:val="24"/>
      <w:lang w:val="en-US" w:eastAsia="zh-CN" w:bidi="ar-SA"/>
    </w:rPr>
  </w:style>
  <w:style w:type="paragraph" w:styleId="36">
    <w:name w:val="Titl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60" w:line="360" w:lineRule="auto"/>
      <w:jc w:val="center"/>
      <w:outlineLvl w:val="0"/>
    </w:pPr>
    <w:rPr>
      <w:rFonts w:ascii="Arial" w:hAnsi="Arial" w:eastAsia="宋体" w:cs="Arial"/>
      <w:b/>
      <w:bCs/>
      <w:kern w:val="1"/>
      <w:sz w:val="32"/>
      <w:szCs w:val="32"/>
      <w:lang w:val="en-US" w:eastAsia="zh-CN" w:bidi="ar-SA"/>
    </w:rPr>
  </w:style>
  <w:style w:type="character" w:styleId="38">
    <w:name w:val="Strong"/>
    <w:qFormat/>
    <w:uiPriority w:val="0"/>
    <w:rPr>
      <w:rFonts w:ascii="Calibri" w:hAnsi="Calibri"/>
      <w:b/>
      <w:bCs/>
      <w:kern w:val="0"/>
      <w:sz w:val="20"/>
      <w:szCs w:val="20"/>
    </w:rPr>
  </w:style>
  <w:style w:type="character" w:styleId="39">
    <w:name w:val="FollowedHyperlink"/>
    <w:qFormat/>
    <w:uiPriority w:val="0"/>
    <w:rPr>
      <w:rFonts w:ascii="Calibri" w:hAnsi="Calibri"/>
      <w:color w:val="800080"/>
      <w:kern w:val="0"/>
      <w:sz w:val="20"/>
      <w:szCs w:val="20"/>
      <w:u w:val="single"/>
    </w:rPr>
  </w:style>
  <w:style w:type="character" w:styleId="40">
    <w:name w:val="Emphasis"/>
    <w:qFormat/>
    <w:uiPriority w:val="0"/>
    <w:rPr>
      <w:i/>
      <w:iCs/>
    </w:rPr>
  </w:style>
  <w:style w:type="character" w:styleId="41">
    <w:name w:val="Hyperlink"/>
    <w:qFormat/>
    <w:uiPriority w:val="99"/>
    <w:rPr>
      <w:rFonts w:ascii="Calibri" w:hAnsi="Calibri"/>
      <w:color w:val="0000FF"/>
      <w:kern w:val="0"/>
      <w:sz w:val="20"/>
      <w:szCs w:val="20"/>
      <w:u w:val="single"/>
    </w:rPr>
  </w:style>
  <w:style w:type="table" w:styleId="43">
    <w:name w:val="Table Grid"/>
    <w:basedOn w:val="4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4">
    <w:name w:val="样式12"/>
    <w:basedOn w:val="1"/>
    <w:qFormat/>
    <w:uiPriority w:val="0"/>
    <w:pPr>
      <w:keepNext/>
      <w:tabs>
        <w:tab w:val="left" w:pos="567"/>
        <w:tab w:val="right" w:pos="9866"/>
      </w:tabs>
      <w:spacing w:before="120"/>
    </w:pPr>
    <w:rPr>
      <w:rFonts w:ascii="Trebuchet MS" w:hAnsi="Trebuchet MS" w:eastAsia="微软雅黑"/>
      <w:b/>
      <w:color w:val="005795"/>
      <w:sz w:val="20"/>
      <w:szCs w:val="20"/>
    </w:rPr>
  </w:style>
  <w:style w:type="paragraph" w:customStyle="1" w:styleId="45">
    <w:name w:val="批注文字1"/>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Times New Roman" w:hAnsi="Times New Roman" w:eastAsia="宋体" w:cs="Times New Roman"/>
      <w:kern w:val="1"/>
      <w:sz w:val="21"/>
      <w:szCs w:val="24"/>
      <w:lang w:val="en-US" w:eastAsia="zh-CN" w:bidi="ar-SA"/>
    </w:rPr>
  </w:style>
  <w:style w:type="paragraph" w:customStyle="1" w:styleId="46">
    <w:name w:val="批注主题1"/>
    <w:basedOn w:val="45"/>
    <w:next w:val="45"/>
    <w:qFormat/>
    <w:uiPriority w:val="0"/>
    <w:rPr>
      <w:b/>
      <w:bCs/>
    </w:rPr>
  </w:style>
  <w:style w:type="paragraph" w:customStyle="1" w:styleId="47">
    <w:name w:val="页脚1"/>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center" w:pos="4153"/>
        <w:tab w:val="right" w:pos="8306"/>
      </w:tabs>
    </w:pPr>
    <w:rPr>
      <w:rFonts w:ascii="Times New Roman" w:hAnsi="Times New Roman" w:eastAsia="宋体" w:cs="Times New Roman"/>
      <w:kern w:val="1"/>
      <w:sz w:val="18"/>
      <w:szCs w:val="18"/>
      <w:lang w:val="en-US" w:eastAsia="zh-CN" w:bidi="ar-SA"/>
    </w:rPr>
  </w:style>
  <w:style w:type="paragraph" w:customStyle="1" w:styleId="48">
    <w:name w:val="页眉1"/>
    <w:qFormat/>
    <w:uiPriority w:val="0"/>
    <w:pPr>
      <w:widowControl w:val="0"/>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rFonts w:ascii="Times New Roman" w:hAnsi="Times New Roman" w:eastAsia="宋体" w:cs="Times New Roman"/>
      <w:kern w:val="1"/>
      <w:sz w:val="18"/>
      <w:szCs w:val="18"/>
      <w:lang w:val="en-US" w:eastAsia="zh-CN" w:bidi="ar-SA"/>
    </w:rPr>
  </w:style>
  <w:style w:type="paragraph" w:customStyle="1" w:styleId="49">
    <w:name w:val="样式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10" w:lineRule="atLeast"/>
      <w:jc w:val="both"/>
    </w:pPr>
    <w:rPr>
      <w:rFonts w:ascii="Times New Roman" w:hAnsi="Times New Roman" w:eastAsia="宋体" w:cs="Times New Roman"/>
      <w:kern w:val="1"/>
      <w:sz w:val="24"/>
      <w:lang w:val="en-US" w:eastAsia="zh-CN" w:bidi="ar-SA"/>
    </w:rPr>
  </w:style>
  <w:style w:type="paragraph" w:customStyle="1" w:styleId="50">
    <w:name w:val="五级条标题"/>
    <w:qFormat/>
    <w:uiPriority w:val="0"/>
    <w:pPr>
      <w:pBdr>
        <w:top w:val="none" w:color="000000" w:sz="0" w:space="3"/>
        <w:left w:val="none" w:color="000000" w:sz="0" w:space="3"/>
        <w:bottom w:val="none" w:color="000000" w:sz="0" w:space="3"/>
        <w:right w:val="none" w:color="000000" w:sz="0" w:space="3"/>
        <w:between w:val="none" w:color="000000" w:sz="0" w:space="0"/>
      </w:pBdr>
      <w:spacing w:line="440" w:lineRule="exact"/>
      <w:ind w:left="945"/>
      <w:jc w:val="both"/>
      <w:outlineLvl w:val="6"/>
    </w:pPr>
    <w:rPr>
      <w:rFonts w:ascii="黑体" w:hAnsi="黑体" w:eastAsia="宋体" w:cs="Times New Roman"/>
      <w:kern w:val="1"/>
      <w:sz w:val="24"/>
      <w:szCs w:val="24"/>
      <w:lang w:val="en-US" w:eastAsia="zh-CN" w:bidi="ar-SA"/>
    </w:rPr>
  </w:style>
  <w:style w:type="paragraph" w:customStyle="1" w:styleId="51">
    <w:name w:val="样式 表格文字 Char + 段前: 0.5 行"/>
    <w:qFormat/>
    <w:uiPriority w:val="0"/>
    <w:pPr>
      <w:widowControl w:val="0"/>
      <w:pBdr>
        <w:top w:val="none" w:color="000000" w:sz="0" w:space="3"/>
        <w:left w:val="none" w:color="000000" w:sz="0" w:space="3"/>
        <w:bottom w:val="none" w:color="000000" w:sz="0" w:space="3"/>
        <w:right w:val="none" w:color="000000" w:sz="0" w:space="3"/>
        <w:between w:val="none" w:color="000000" w:sz="0" w:space="0"/>
      </w:pBdr>
      <w:jc w:val="center"/>
    </w:pPr>
    <w:rPr>
      <w:rFonts w:ascii="Times New Roman" w:hAnsi="Times New Roman" w:eastAsia="宋体" w:cs="Times New Roman"/>
      <w:kern w:val="1"/>
      <w:sz w:val="24"/>
      <w:lang w:val="en-US" w:eastAsia="zh-CN" w:bidi="ar-SA"/>
    </w:rPr>
  </w:style>
  <w:style w:type="paragraph" w:customStyle="1" w:styleId="52">
    <w:name w:val="Default"/>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宋体" w:hAnsi="宋体" w:eastAsia="宋体" w:cs="Times New Roman"/>
      <w:kern w:val="1"/>
      <w:sz w:val="24"/>
      <w:szCs w:val="24"/>
      <w:lang w:val="en-US" w:eastAsia="zh-CN" w:bidi="ar-SA"/>
    </w:rPr>
  </w:style>
  <w:style w:type="paragraph" w:customStyle="1" w:styleId="53">
    <w:name w:val="Char"/>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jc w:val="both"/>
    </w:pPr>
    <w:rPr>
      <w:rFonts w:ascii="Times New Roman" w:hAnsi="Times New Roman" w:eastAsia="宋体" w:cs="Times New Roman"/>
      <w:kern w:val="1"/>
      <w:sz w:val="24"/>
      <w:lang w:val="en-US" w:eastAsia="zh-CN" w:bidi="ar-SA"/>
    </w:rPr>
  </w:style>
  <w:style w:type="paragraph" w:customStyle="1" w:styleId="54">
    <w:name w:val="正文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tLeast"/>
    </w:pPr>
    <w:rPr>
      <w:rFonts w:ascii="宋体" w:hAnsi="宋体" w:eastAsia="宋体" w:cs="Times New Roman"/>
      <w:kern w:val="1"/>
      <w:sz w:val="34"/>
      <w:lang w:val="en-US" w:eastAsia="zh-CN" w:bidi="ar-SA"/>
    </w:rPr>
  </w:style>
  <w:style w:type="paragraph" w:customStyle="1" w:styleId="55">
    <w:name w:val="样式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20" w:lineRule="auto"/>
      <w:jc w:val="center"/>
    </w:pPr>
    <w:rPr>
      <w:rFonts w:ascii="宋体" w:hAnsi="宋体" w:eastAsia="宋体" w:cs="Times New Roman"/>
      <w:kern w:val="1"/>
      <w:sz w:val="24"/>
      <w:lang w:val="en-US" w:eastAsia="zh-CN" w:bidi="ar-SA"/>
    </w:rPr>
  </w:style>
  <w:style w:type="paragraph" w:customStyle="1" w:styleId="56">
    <w:name w:val="章标题"/>
    <w:qFormat/>
    <w:uiPriority w:val="0"/>
    <w:pPr>
      <w:pBdr>
        <w:top w:val="none" w:color="000000" w:sz="0" w:space="3"/>
        <w:left w:val="none" w:color="000000" w:sz="0" w:space="3"/>
        <w:bottom w:val="none" w:color="000000" w:sz="0" w:space="3"/>
        <w:right w:val="none" w:color="000000" w:sz="0" w:space="3"/>
        <w:between w:val="none" w:color="000000" w:sz="0" w:space="0"/>
      </w:pBdr>
      <w:ind w:left="-105"/>
      <w:jc w:val="both"/>
      <w:outlineLvl w:val="1"/>
    </w:pPr>
    <w:rPr>
      <w:rFonts w:ascii="黑体" w:hAnsi="黑体" w:eastAsia="黑体" w:cs="Times New Roman"/>
      <w:kern w:val="1"/>
      <w:sz w:val="21"/>
      <w:lang w:val="en-US" w:eastAsia="zh-CN" w:bidi="ar-SA"/>
    </w:rPr>
  </w:style>
  <w:style w:type="paragraph" w:customStyle="1" w:styleId="57">
    <w:name w:val="Char1"/>
    <w:qFormat/>
    <w:uiPriority w:val="0"/>
    <w:pPr>
      <w:pBdr>
        <w:top w:val="none" w:color="000000" w:sz="0" w:space="3"/>
        <w:left w:val="none" w:color="000000" w:sz="0" w:space="3"/>
        <w:bottom w:val="none" w:color="000000" w:sz="0" w:space="3"/>
        <w:right w:val="none" w:color="000000" w:sz="0" w:space="3"/>
        <w:between w:val="none" w:color="000000" w:sz="0" w:space="0"/>
      </w:pBdr>
      <w:spacing w:after="160" w:line="240" w:lineRule="exact"/>
    </w:pPr>
    <w:rPr>
      <w:rFonts w:ascii="Verdana" w:hAnsi="Verdana" w:eastAsia="仿宋_GB2312" w:cs="Times New Roman"/>
      <w:kern w:val="1"/>
      <w:sz w:val="24"/>
      <w:lang w:val="en-US" w:eastAsia="zh-CN" w:bidi="ar-SA"/>
    </w:rPr>
  </w:style>
  <w:style w:type="paragraph" w:customStyle="1" w:styleId="58">
    <w:name w:val="列出段落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customStyle="1" w:styleId="59">
    <w:name w:val="Char Char Char Char Char Char Char"/>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customStyle="1" w:styleId="60">
    <w:name w:val="Absatz2AL"/>
    <w:qFormat/>
    <w:uiPriority w:val="0"/>
    <w:pPr>
      <w:pBdr>
        <w:top w:val="none" w:color="000000" w:sz="0" w:space="3"/>
        <w:left w:val="none" w:color="000000" w:sz="0" w:space="3"/>
        <w:bottom w:val="none" w:color="000000" w:sz="0" w:space="3"/>
        <w:right w:val="none" w:color="000000" w:sz="0" w:space="3"/>
        <w:between w:val="none" w:color="000000" w:sz="0" w:space="0"/>
      </w:pBdr>
      <w:jc w:val="both"/>
    </w:pPr>
    <w:rPr>
      <w:rFonts w:ascii="Times New Roman" w:hAnsi="Times New Roman" w:eastAsia="楷体_GB2312" w:cs="Times New Roman"/>
      <w:kern w:val="1"/>
      <w:sz w:val="21"/>
      <w:lang w:val="de-DE" w:eastAsia="zh-CN" w:bidi="ar-SA"/>
    </w:rPr>
  </w:style>
  <w:style w:type="paragraph" w:customStyle="1" w:styleId="61">
    <w:name w:val="图"/>
    <w:qFormat/>
    <w:uiPriority w:val="0"/>
    <w:pPr>
      <w:keepNext/>
      <w:widowControl w:val="0"/>
      <w:pBdr>
        <w:top w:val="none" w:color="000000" w:sz="0" w:space="3"/>
        <w:left w:val="none" w:color="000000" w:sz="0" w:space="3"/>
        <w:bottom w:val="none" w:color="000000" w:sz="0" w:space="3"/>
        <w:right w:val="none" w:color="000000" w:sz="0" w:space="3"/>
        <w:between w:val="none" w:color="000000" w:sz="0" w:space="0"/>
      </w:pBdr>
      <w:spacing w:before="60" w:after="60" w:line="300" w:lineRule="auto"/>
      <w:jc w:val="center"/>
    </w:pPr>
    <w:rPr>
      <w:rFonts w:ascii="Times New Roman" w:hAnsi="Times New Roman" w:eastAsia="宋体" w:cs="Times New Roman"/>
      <w:spacing w:val="15"/>
      <w:kern w:val="1"/>
      <w:sz w:val="24"/>
      <w:lang w:val="en-US" w:eastAsia="zh-CN" w:bidi="ar-SA"/>
    </w:rPr>
  </w:style>
  <w:style w:type="paragraph" w:customStyle="1" w:styleId="62">
    <w:name w:val="Blockquot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100" w:after="100"/>
      <w:ind w:left="360" w:right="360"/>
    </w:pPr>
    <w:rPr>
      <w:rFonts w:ascii="Times New Roman" w:hAnsi="Times New Roman" w:eastAsia="宋体" w:cs="Times New Roman"/>
      <w:kern w:val="1"/>
      <w:sz w:val="24"/>
      <w:lang w:val="en-US" w:eastAsia="zh-CN" w:bidi="ar-SA"/>
    </w:rPr>
  </w:style>
  <w:style w:type="paragraph" w:customStyle="1" w:styleId="63">
    <w:name w:val="列出段落2"/>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szCs w:val="24"/>
      <w:lang w:val="en-US" w:eastAsia="zh-CN" w:bidi="ar-SA"/>
    </w:rPr>
  </w:style>
  <w:style w:type="paragraph" w:customStyle="1" w:styleId="64">
    <w:name w:val="(i)"/>
    <w:qFormat/>
    <w:uiPriority w:val="0"/>
    <w:pPr>
      <w:pBdr>
        <w:top w:val="none" w:color="000000" w:sz="0" w:space="3"/>
        <w:left w:val="none" w:color="000000" w:sz="0" w:space="3"/>
        <w:bottom w:val="none" w:color="000000" w:sz="0" w:space="3"/>
        <w:right w:val="none" w:color="000000" w:sz="0" w:space="3"/>
        <w:between w:val="none" w:color="000000" w:sz="0" w:space="0"/>
      </w:pBdr>
      <w:suppressAutoHyphens/>
      <w:jc w:val="both"/>
    </w:pPr>
    <w:rPr>
      <w:rFonts w:ascii="Tms Rmn" w:hAnsi="Tms Rmn" w:eastAsia="宋体" w:cs="Times New Roman"/>
      <w:kern w:val="1"/>
      <w:sz w:val="24"/>
      <w:lang w:val="en-US" w:eastAsia="zh-CN" w:bidi="ar-SA"/>
    </w:rPr>
  </w:style>
  <w:style w:type="paragraph" w:customStyle="1" w:styleId="65">
    <w:name w:val="15"/>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宋体" w:hAnsi="宋体" w:eastAsia="宋体" w:cs="宋体"/>
      <w:kern w:val="1"/>
      <w:sz w:val="24"/>
      <w:szCs w:val="24"/>
      <w:lang w:val="en-US" w:eastAsia="zh-CN" w:bidi="ar-SA"/>
    </w:rPr>
  </w:style>
  <w:style w:type="paragraph" w:customStyle="1" w:styleId="66">
    <w:name w:val="Table Paragraph"/>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20"/>
      <w:ind w:left="107"/>
    </w:pPr>
    <w:rPr>
      <w:rFonts w:ascii="宋体" w:hAnsi="宋体" w:eastAsia="宋体" w:cs="宋体"/>
      <w:kern w:val="1"/>
      <w:sz w:val="22"/>
      <w:szCs w:val="22"/>
      <w:lang w:val="en-US" w:eastAsia="zh-CN" w:bidi="ar-SA"/>
    </w:rPr>
  </w:style>
  <w:style w:type="character" w:customStyle="1" w:styleId="67">
    <w:name w:val="页码1"/>
    <w:qFormat/>
    <w:uiPriority w:val="0"/>
  </w:style>
  <w:style w:type="character" w:customStyle="1" w:styleId="68">
    <w:name w:val="批注引用1"/>
    <w:qFormat/>
    <w:uiPriority w:val="0"/>
    <w:rPr>
      <w:rFonts w:ascii="Calibri" w:hAnsi="Calibri"/>
      <w:kern w:val="0"/>
      <w:szCs w:val="21"/>
    </w:rPr>
  </w:style>
  <w:style w:type="character" w:customStyle="1" w:styleId="69">
    <w:name w:val="标题 1 Char"/>
    <w:qFormat/>
    <w:uiPriority w:val="0"/>
    <w:rPr>
      <w:b/>
      <w:sz w:val="44"/>
      <w:szCs w:val="20"/>
    </w:rPr>
  </w:style>
  <w:style w:type="character" w:customStyle="1" w:styleId="70">
    <w:name w:val="标题 2 Char"/>
    <w:qFormat/>
    <w:uiPriority w:val="0"/>
    <w:rPr>
      <w:rFonts w:ascii="Arial" w:hAnsi="Arial" w:eastAsia="黑体"/>
      <w:b/>
      <w:kern w:val="0"/>
      <w:sz w:val="32"/>
      <w:szCs w:val="20"/>
    </w:rPr>
  </w:style>
  <w:style w:type="character" w:customStyle="1" w:styleId="71">
    <w:name w:val="标题 3 Char"/>
    <w:qFormat/>
    <w:uiPriority w:val="0"/>
    <w:rPr>
      <w:b/>
      <w:kern w:val="0"/>
      <w:sz w:val="24"/>
      <w:szCs w:val="20"/>
    </w:rPr>
  </w:style>
  <w:style w:type="character" w:customStyle="1" w:styleId="72">
    <w:name w:val="标题 4 Char"/>
    <w:qFormat/>
    <w:uiPriority w:val="0"/>
    <w:rPr>
      <w:rFonts w:ascii="Arial" w:hAnsi="Arial" w:eastAsia="黑体"/>
      <w:b/>
      <w:sz w:val="28"/>
      <w:szCs w:val="20"/>
    </w:rPr>
  </w:style>
  <w:style w:type="character" w:customStyle="1" w:styleId="73">
    <w:name w:val="标题 5 Char"/>
    <w:qFormat/>
    <w:uiPriority w:val="0"/>
    <w:rPr>
      <w:b/>
      <w:sz w:val="28"/>
      <w:szCs w:val="20"/>
    </w:rPr>
  </w:style>
  <w:style w:type="character" w:customStyle="1" w:styleId="74">
    <w:name w:val="标题 6 Char"/>
    <w:qFormat/>
    <w:uiPriority w:val="0"/>
    <w:rPr>
      <w:rFonts w:ascii="Arial" w:hAnsi="Arial" w:eastAsia="黑体"/>
      <w:b/>
      <w:sz w:val="24"/>
      <w:szCs w:val="20"/>
    </w:rPr>
  </w:style>
  <w:style w:type="character" w:customStyle="1" w:styleId="75">
    <w:name w:val="标题 7 Char"/>
    <w:qFormat/>
    <w:uiPriority w:val="0"/>
    <w:rPr>
      <w:b/>
      <w:sz w:val="24"/>
      <w:szCs w:val="20"/>
    </w:rPr>
  </w:style>
  <w:style w:type="character" w:customStyle="1" w:styleId="76">
    <w:name w:val="标题 8 Char"/>
    <w:qFormat/>
    <w:uiPriority w:val="0"/>
    <w:rPr>
      <w:rFonts w:ascii="Arial" w:hAnsi="Arial" w:eastAsia="黑体"/>
      <w:sz w:val="24"/>
      <w:szCs w:val="20"/>
    </w:rPr>
  </w:style>
  <w:style w:type="character" w:customStyle="1" w:styleId="77">
    <w:name w:val="标题 9 Char"/>
    <w:qFormat/>
    <w:uiPriority w:val="0"/>
    <w:rPr>
      <w:rFonts w:ascii="Arial" w:hAnsi="Arial" w:eastAsia="黑体"/>
      <w:szCs w:val="20"/>
    </w:rPr>
  </w:style>
  <w:style w:type="character" w:customStyle="1" w:styleId="78">
    <w:name w:val="标题 Char"/>
    <w:qFormat/>
    <w:uiPriority w:val="0"/>
    <w:rPr>
      <w:rFonts w:ascii="Arial" w:hAnsi="Arial" w:cs="Arial"/>
      <w:b/>
      <w:bCs/>
      <w:kern w:val="0"/>
      <w:sz w:val="32"/>
      <w:szCs w:val="32"/>
    </w:rPr>
  </w:style>
  <w:style w:type="character" w:customStyle="1" w:styleId="79">
    <w:name w:val="文档结构图 Char"/>
    <w:qFormat/>
    <w:uiPriority w:val="0"/>
    <w:rPr>
      <w:rFonts w:ascii="宋体" w:hAnsi="宋体"/>
      <w:kern w:val="0"/>
      <w:sz w:val="18"/>
      <w:szCs w:val="18"/>
    </w:rPr>
  </w:style>
  <w:style w:type="character" w:customStyle="1" w:styleId="80">
    <w:name w:val="正文文本缩进 2 Char"/>
    <w:qFormat/>
    <w:uiPriority w:val="0"/>
    <w:rPr>
      <w:sz w:val="24"/>
    </w:rPr>
  </w:style>
  <w:style w:type="character" w:customStyle="1" w:styleId="81">
    <w:name w:val="HTML 预设格式 Char"/>
    <w:qFormat/>
    <w:uiPriority w:val="0"/>
    <w:rPr>
      <w:rFonts w:ascii="宋体" w:hAnsi="宋体"/>
      <w:sz w:val="24"/>
    </w:rPr>
  </w:style>
  <w:style w:type="character" w:customStyle="1" w:styleId="82">
    <w:name w:val="纯文本 Char"/>
    <w:qFormat/>
    <w:uiPriority w:val="0"/>
    <w:rPr>
      <w:rFonts w:ascii="宋体" w:hAnsi="宋体"/>
      <w:sz w:val="24"/>
    </w:rPr>
  </w:style>
  <w:style w:type="character" w:customStyle="1" w:styleId="83">
    <w:name w:val="style51"/>
    <w:qFormat/>
    <w:uiPriority w:val="0"/>
    <w:rPr>
      <w:rFonts w:ascii="Calibri" w:hAnsi="Calibri"/>
      <w:b/>
      <w:bCs/>
      <w:color w:val="000066"/>
      <w:kern w:val="0"/>
      <w:sz w:val="36"/>
      <w:szCs w:val="36"/>
    </w:rPr>
  </w:style>
  <w:style w:type="character" w:customStyle="1" w:styleId="84">
    <w:name w:val="页脚 Char"/>
    <w:qFormat/>
    <w:uiPriority w:val="0"/>
    <w:rPr>
      <w:sz w:val="18"/>
      <w:szCs w:val="18"/>
    </w:rPr>
  </w:style>
  <w:style w:type="character" w:customStyle="1" w:styleId="85">
    <w:name w:val="纯文本 Char1"/>
    <w:qFormat/>
    <w:uiPriority w:val="0"/>
    <w:rPr>
      <w:rFonts w:ascii="宋体" w:hAnsi="宋体" w:cs="Courier New"/>
      <w:szCs w:val="21"/>
    </w:rPr>
  </w:style>
  <w:style w:type="character" w:customStyle="1" w:styleId="86">
    <w:name w:val="正文文本缩进 2 Char1"/>
    <w:qFormat/>
    <w:uiPriority w:val="0"/>
  </w:style>
  <w:style w:type="character" w:customStyle="1" w:styleId="87">
    <w:name w:val="正文文本缩进 3 Char"/>
    <w:qFormat/>
    <w:uiPriority w:val="0"/>
    <w:rPr>
      <w:sz w:val="24"/>
    </w:rPr>
  </w:style>
  <w:style w:type="character" w:customStyle="1" w:styleId="88">
    <w:name w:val="正文文本缩进 Char"/>
    <w:qFormat/>
    <w:uiPriority w:val="0"/>
    <w:rPr>
      <w:rFonts w:ascii="宋体" w:hAnsi="宋体"/>
      <w:kern w:val="0"/>
      <w:sz w:val="24"/>
      <w:szCs w:val="20"/>
    </w:rPr>
  </w:style>
  <w:style w:type="character" w:customStyle="1" w:styleId="89">
    <w:name w:val="批注文字 Char"/>
    <w:qFormat/>
    <w:uiPriority w:val="0"/>
  </w:style>
  <w:style w:type="character" w:customStyle="1" w:styleId="90">
    <w:name w:val="批注主题 Char"/>
    <w:qFormat/>
    <w:uiPriority w:val="0"/>
    <w:rPr>
      <w:b/>
      <w:bCs/>
    </w:rPr>
  </w:style>
  <w:style w:type="character" w:customStyle="1" w:styleId="91">
    <w:name w:val="标题 Char1"/>
    <w:qFormat/>
    <w:uiPriority w:val="0"/>
    <w:rPr>
      <w:rFonts w:ascii="Cambria" w:hAnsi="Cambria"/>
      <w:b/>
      <w:bCs/>
      <w:sz w:val="32"/>
      <w:szCs w:val="32"/>
    </w:rPr>
  </w:style>
  <w:style w:type="character" w:customStyle="1" w:styleId="92">
    <w:name w:val="文档结构图 Char1"/>
    <w:qFormat/>
    <w:uiPriority w:val="0"/>
    <w:rPr>
      <w:rFonts w:ascii="宋体" w:hAnsi="宋体"/>
      <w:sz w:val="18"/>
      <w:szCs w:val="18"/>
    </w:rPr>
  </w:style>
  <w:style w:type="character" w:customStyle="1" w:styleId="93">
    <w:name w:val="HTML 预设格式 Char1"/>
    <w:qFormat/>
    <w:uiPriority w:val="0"/>
    <w:rPr>
      <w:rFonts w:ascii="Courier New" w:hAnsi="Courier New" w:cs="Courier New"/>
      <w:sz w:val="20"/>
      <w:szCs w:val="20"/>
    </w:rPr>
  </w:style>
  <w:style w:type="character" w:customStyle="1" w:styleId="94">
    <w:name w:val="页眉 Char"/>
    <w:qFormat/>
    <w:uiPriority w:val="0"/>
    <w:rPr>
      <w:sz w:val="18"/>
      <w:szCs w:val="18"/>
    </w:rPr>
  </w:style>
  <w:style w:type="character" w:customStyle="1" w:styleId="95">
    <w:name w:val="正文文本 Char"/>
    <w:qFormat/>
    <w:uiPriority w:val="0"/>
    <w:rPr>
      <w:sz w:val="24"/>
    </w:rPr>
  </w:style>
  <w:style w:type="character" w:customStyle="1" w:styleId="96">
    <w:name w:val="批注框文本 Char"/>
    <w:qFormat/>
    <w:uiPriority w:val="0"/>
    <w:rPr>
      <w:sz w:val="18"/>
      <w:szCs w:val="18"/>
    </w:rPr>
  </w:style>
  <w:style w:type="character" w:customStyle="1" w:styleId="97">
    <w:name w:val="日期 Char"/>
    <w:qFormat/>
    <w:uiPriority w:val="0"/>
    <w:rPr>
      <w:sz w:val="24"/>
    </w:rPr>
  </w:style>
  <w:style w:type="character" w:customStyle="1" w:styleId="98">
    <w:name w:val="正文文本 3 Char"/>
    <w:qFormat/>
    <w:uiPriority w:val="0"/>
    <w:rPr>
      <w:sz w:val="16"/>
      <w:szCs w:val="16"/>
    </w:rPr>
  </w:style>
  <w:style w:type="character" w:customStyle="1" w:styleId="99">
    <w:name w:val="批注文字 Char1"/>
    <w:qFormat/>
    <w:uiPriority w:val="0"/>
  </w:style>
  <w:style w:type="character" w:customStyle="1" w:styleId="100">
    <w:name w:val="font21"/>
    <w:qFormat/>
    <w:uiPriority w:val="0"/>
    <w:rPr>
      <w:rFonts w:hint="eastAsia" w:ascii="宋体" w:hAnsi="宋体" w:cs="宋体"/>
      <w:sz w:val="20"/>
      <w:szCs w:val="20"/>
      <w:vertAlign w:val="subscript"/>
    </w:rPr>
  </w:style>
  <w:style w:type="character" w:customStyle="1" w:styleId="101">
    <w:name w:val="font31"/>
    <w:qFormat/>
    <w:uiPriority w:val="0"/>
    <w:rPr>
      <w:rFonts w:hint="eastAsia" w:ascii="宋体" w:hAnsi="宋体" w:cs="宋体"/>
      <w:sz w:val="20"/>
      <w:szCs w:val="20"/>
    </w:rPr>
  </w:style>
  <w:style w:type="character" w:customStyle="1" w:styleId="102">
    <w:name w:val="页眉 Char1"/>
    <w:basedOn w:val="37"/>
    <w:link w:val="27"/>
    <w:qFormat/>
    <w:uiPriority w:val="99"/>
    <w:rPr>
      <w:sz w:val="18"/>
      <w:szCs w:val="18"/>
    </w:rPr>
  </w:style>
  <w:style w:type="character" w:customStyle="1" w:styleId="103">
    <w:name w:val="页脚 Char1"/>
    <w:basedOn w:val="37"/>
    <w:link w:val="25"/>
    <w:qFormat/>
    <w:uiPriority w:val="99"/>
    <w:rPr>
      <w:sz w:val="18"/>
      <w:szCs w:val="18"/>
    </w:rPr>
  </w:style>
  <w:style w:type="paragraph" w:customStyle="1" w:styleId="104">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05">
    <w:name w:val="_Style 100"/>
    <w:basedOn w:val="1"/>
    <w:next w:val="106"/>
    <w:qFormat/>
    <w:uiPriority w:val="99"/>
    <w:pPr>
      <w:pBdr>
        <w:top w:val="none" w:color="auto" w:sz="0" w:space="0"/>
        <w:left w:val="none" w:color="auto" w:sz="0" w:space="0"/>
        <w:bottom w:val="none" w:color="auto" w:sz="0" w:space="0"/>
        <w:right w:val="none" w:color="auto" w:sz="0" w:space="0"/>
        <w:between w:val="none" w:color="auto" w:sz="0" w:space="0"/>
      </w:pBdr>
      <w:ind w:firstLine="420" w:firstLineChars="200"/>
    </w:pPr>
    <w:rPr>
      <w:rFonts w:ascii="Calibri" w:hAnsi="Calibri"/>
      <w:kern w:val="2"/>
    </w:rPr>
  </w:style>
  <w:style w:type="paragraph" w:customStyle="1" w:styleId="106">
    <w:name w:val="List Paragraph"/>
    <w:basedOn w:val="1"/>
    <w:qFormat/>
    <w:uiPriority w:val="99"/>
    <w:pPr>
      <w:ind w:firstLine="420" w:firstLineChars="200"/>
    </w:pPr>
  </w:style>
  <w:style w:type="paragraph" w:customStyle="1" w:styleId="107">
    <w:name w:val="TOC 标题1"/>
    <w:basedOn w:val="3"/>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480" w:after="0" w:line="276" w:lineRule="auto"/>
      <w:jc w:val="left"/>
      <w:outlineLvl w:val="9"/>
    </w:pPr>
    <w:rPr>
      <w:rFonts w:asciiTheme="majorHAnsi" w:hAnsiTheme="majorHAnsi" w:eastAsiaTheme="majorEastAsia" w:cstheme="majorBidi"/>
      <w:bCs/>
      <w:color w:val="376092" w:themeColor="accent1" w:themeShade="BF"/>
      <w:kern w:val="0"/>
      <w:sz w:val="28"/>
      <w:szCs w:val="28"/>
    </w:rPr>
  </w:style>
  <w:style w:type="paragraph" w:customStyle="1" w:styleId="108">
    <w:name w:val="p0"/>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 w:type="paragraph" w:customStyle="1" w:styleId="109">
    <w:name w:val="p16"/>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宋体"/>
        <a:cs typeface="Times New Roman"/>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250D1-FC77-4D33-92D9-01D2EBDC4321}">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49</Pages>
  <Words>3318</Words>
  <Characters>18916</Characters>
  <Lines>157</Lines>
  <Paragraphs>44</Paragraphs>
  <TotalTime>4</TotalTime>
  <ScaleCrop>false</ScaleCrop>
  <LinksUpToDate>false</LinksUpToDate>
  <CharactersWithSpaces>22190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2021-04-08T00:48:00Z</dcterms:created>
  <dc:creator>weixin</dc:creator>
  <cp:lastModifiedBy>唐敏</cp:lastModifiedBy>
  <dcterms:modified xsi:type="dcterms:W3CDTF">2021-09-28T10:22:06Z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DC538CD9FBE441C581C8C37B148C4F24</vt:lpwstr>
  </property>
</Properties>
</file>